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bookmarkStart w:id="18" w:name="_GoBack"/>
      <w:bookmarkEnd w:id="18"/>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1</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117.76</w:t>
            </w:r>
          </w:p>
        </w:tc>
        <w:tc>
          <w:tcPr>
            <w:tcW w:w="1971" w:type="dxa"/>
            <w:vAlign w:val="center"/>
          </w:tcPr>
          <w:p>
            <w:pPr>
              <w:pStyle w:val="14"/>
            </w:pPr>
            <w:r>
              <w:t>一、一般公共服务支出</w:t>
            </w:r>
          </w:p>
        </w:tc>
        <w:tc>
          <w:tcPr>
            <w:tcW w:w="1971" w:type="dxa"/>
            <w:vAlign w:val="center"/>
          </w:tcPr>
          <w:p>
            <w:pPr>
              <w:pStyle w:val="13"/>
            </w:pPr>
            <w:r>
              <w:t>90.33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11.90</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9.98</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117.76</w:t>
            </w:r>
          </w:p>
        </w:tc>
        <w:tc>
          <w:tcPr>
            <w:tcW w:w="1971" w:type="dxa"/>
            <w:vAlign w:val="center"/>
          </w:tcPr>
          <w:p>
            <w:pPr>
              <w:pStyle w:val="16"/>
            </w:pPr>
            <w:r>
              <w:t>本年支出合计</w:t>
            </w:r>
          </w:p>
        </w:tc>
        <w:tc>
          <w:tcPr>
            <w:tcW w:w="1971" w:type="dxa"/>
            <w:vAlign w:val="center"/>
          </w:tcPr>
          <w:p>
            <w:pPr>
              <w:pStyle w:val="17"/>
            </w:pPr>
            <w:r>
              <w:t>117.76</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117.76</w:t>
            </w:r>
          </w:p>
        </w:tc>
        <w:tc>
          <w:tcPr>
            <w:tcW w:w="1971" w:type="dxa"/>
            <w:vAlign w:val="center"/>
          </w:tcPr>
          <w:p>
            <w:pPr>
              <w:pStyle w:val="16"/>
            </w:pPr>
            <w:r>
              <w:t>支出总计</w:t>
            </w:r>
          </w:p>
        </w:tc>
        <w:tc>
          <w:tcPr>
            <w:tcW w:w="1971" w:type="dxa"/>
            <w:vAlign w:val="center"/>
          </w:tcPr>
          <w:p>
            <w:pPr>
              <w:pStyle w:val="17"/>
            </w:pPr>
            <w:r>
              <w:t>117.76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117.76</w:t>
            </w:r>
          </w:p>
        </w:tc>
        <w:tc>
          <w:tcPr>
            <w:tcW w:w="758" w:type="dxa"/>
            <w:vAlign w:val="center"/>
          </w:tcPr>
          <w:p>
            <w:pPr>
              <w:pStyle w:val="17"/>
            </w:pPr>
            <w:r>
              <w:t>117.76</w:t>
            </w:r>
          </w:p>
        </w:tc>
        <w:tc>
          <w:tcPr>
            <w:tcW w:w="758" w:type="dxa"/>
            <w:vAlign w:val="center"/>
          </w:tcPr>
          <w:p>
            <w:pPr>
              <w:pStyle w:val="17"/>
            </w:pPr>
            <w:r>
              <w:t>117.76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20131</w:t>
            </w:r>
          </w:p>
        </w:tc>
        <w:tc>
          <w:tcPr>
            <w:tcW w:w="758" w:type="dxa"/>
            <w:vAlign w:val="center"/>
          </w:tcPr>
          <w:p>
            <w:pPr>
              <w:pStyle w:val="14"/>
            </w:pPr>
            <w:r>
              <w:t>党委办公厅（室）及相关机构事务</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2013101</w:t>
            </w:r>
          </w:p>
        </w:tc>
        <w:tc>
          <w:tcPr>
            <w:tcW w:w="758" w:type="dxa"/>
            <w:vAlign w:val="center"/>
          </w:tcPr>
          <w:p>
            <w:pPr>
              <w:pStyle w:val="14"/>
            </w:pPr>
            <w:r>
              <w:t>行政运行</w:t>
            </w:r>
          </w:p>
        </w:tc>
        <w:tc>
          <w:tcPr>
            <w:tcW w:w="758" w:type="dxa"/>
            <w:vAlign w:val="center"/>
          </w:tcPr>
          <w:p>
            <w:pPr>
              <w:pStyle w:val="13"/>
            </w:pPr>
            <w:r>
              <w:t>79.33</w:t>
            </w:r>
          </w:p>
        </w:tc>
        <w:tc>
          <w:tcPr>
            <w:tcW w:w="758" w:type="dxa"/>
            <w:vAlign w:val="center"/>
          </w:tcPr>
          <w:p>
            <w:pPr>
              <w:pStyle w:val="13"/>
            </w:pPr>
            <w:r>
              <w:t>79.33</w:t>
            </w:r>
          </w:p>
        </w:tc>
        <w:tc>
          <w:tcPr>
            <w:tcW w:w="758" w:type="dxa"/>
            <w:vAlign w:val="center"/>
          </w:tcPr>
          <w:p>
            <w:pPr>
              <w:pStyle w:val="13"/>
            </w:pPr>
            <w:r>
              <w:t>79.33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2013105</w:t>
            </w:r>
          </w:p>
        </w:tc>
        <w:tc>
          <w:tcPr>
            <w:tcW w:w="758" w:type="dxa"/>
            <w:vAlign w:val="center"/>
          </w:tcPr>
          <w:p>
            <w:pPr>
              <w:pStyle w:val="14"/>
            </w:pPr>
            <w:r>
              <w:t>专项业务</w:t>
            </w:r>
          </w:p>
        </w:tc>
        <w:tc>
          <w:tcPr>
            <w:tcW w:w="758" w:type="dxa"/>
            <w:vAlign w:val="center"/>
          </w:tcPr>
          <w:p>
            <w:pPr>
              <w:pStyle w:val="13"/>
            </w:pPr>
            <w:r>
              <w:t>11.00</w:t>
            </w:r>
          </w:p>
        </w:tc>
        <w:tc>
          <w:tcPr>
            <w:tcW w:w="758" w:type="dxa"/>
            <w:vAlign w:val="center"/>
          </w:tcPr>
          <w:p>
            <w:pPr>
              <w:pStyle w:val="13"/>
            </w:pPr>
            <w:r>
              <w:t>11.00</w:t>
            </w:r>
          </w:p>
        </w:tc>
        <w:tc>
          <w:tcPr>
            <w:tcW w:w="758" w:type="dxa"/>
            <w:vAlign w:val="center"/>
          </w:tcPr>
          <w:p>
            <w:pPr>
              <w:pStyle w:val="13"/>
            </w:pPr>
            <w:r>
              <w:t>11.00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11.90</w:t>
            </w:r>
          </w:p>
        </w:tc>
        <w:tc>
          <w:tcPr>
            <w:tcW w:w="758" w:type="dxa"/>
            <w:vAlign w:val="center"/>
          </w:tcPr>
          <w:p>
            <w:pPr>
              <w:pStyle w:val="13"/>
            </w:pPr>
            <w:r>
              <w:t>11.90</w:t>
            </w:r>
          </w:p>
        </w:tc>
        <w:tc>
          <w:tcPr>
            <w:tcW w:w="758" w:type="dxa"/>
            <w:vAlign w:val="center"/>
          </w:tcPr>
          <w:p>
            <w:pPr>
              <w:pStyle w:val="13"/>
            </w:pPr>
            <w:r>
              <w:t>11.90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11.42</w:t>
            </w:r>
          </w:p>
        </w:tc>
        <w:tc>
          <w:tcPr>
            <w:tcW w:w="758" w:type="dxa"/>
            <w:vAlign w:val="center"/>
          </w:tcPr>
          <w:p>
            <w:pPr>
              <w:pStyle w:val="13"/>
            </w:pPr>
            <w:r>
              <w:t>11.42</w:t>
            </w:r>
          </w:p>
        </w:tc>
        <w:tc>
          <w:tcPr>
            <w:tcW w:w="758" w:type="dxa"/>
            <w:vAlign w:val="center"/>
          </w:tcPr>
          <w:p>
            <w:pPr>
              <w:pStyle w:val="13"/>
            </w:pPr>
            <w:r>
              <w:t>11.42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2.33</w:t>
            </w:r>
          </w:p>
        </w:tc>
        <w:tc>
          <w:tcPr>
            <w:tcW w:w="758" w:type="dxa"/>
            <w:vAlign w:val="center"/>
          </w:tcPr>
          <w:p>
            <w:pPr>
              <w:pStyle w:val="13"/>
            </w:pPr>
            <w:r>
              <w:t>2.33</w:t>
            </w:r>
          </w:p>
        </w:tc>
        <w:tc>
          <w:tcPr>
            <w:tcW w:w="758" w:type="dxa"/>
            <w:vAlign w:val="center"/>
          </w:tcPr>
          <w:p>
            <w:pPr>
              <w:pStyle w:val="13"/>
            </w:pPr>
            <w:r>
              <w:t>2.33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9.09</w:t>
            </w:r>
          </w:p>
        </w:tc>
        <w:tc>
          <w:tcPr>
            <w:tcW w:w="758" w:type="dxa"/>
            <w:vAlign w:val="center"/>
          </w:tcPr>
          <w:p>
            <w:pPr>
              <w:pStyle w:val="13"/>
            </w:pPr>
            <w:r>
              <w:t>9.09</w:t>
            </w:r>
          </w:p>
        </w:tc>
        <w:tc>
          <w:tcPr>
            <w:tcW w:w="758" w:type="dxa"/>
            <w:vAlign w:val="center"/>
          </w:tcPr>
          <w:p>
            <w:pPr>
              <w:pStyle w:val="13"/>
            </w:pPr>
            <w:r>
              <w:t>9.09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117.76</w:t>
            </w:r>
          </w:p>
        </w:tc>
        <w:tc>
          <w:tcPr>
            <w:tcW w:w="1095" w:type="dxa"/>
            <w:vAlign w:val="center"/>
          </w:tcPr>
          <w:p>
            <w:pPr>
              <w:pStyle w:val="17"/>
            </w:pPr>
            <w:r>
              <w:t>106.76</w:t>
            </w:r>
          </w:p>
        </w:tc>
        <w:tc>
          <w:tcPr>
            <w:tcW w:w="1095" w:type="dxa"/>
            <w:vAlign w:val="center"/>
          </w:tcPr>
          <w:p>
            <w:pPr>
              <w:pStyle w:val="17"/>
            </w:pPr>
            <w:r>
              <w:t>11.00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90.33</w:t>
            </w:r>
          </w:p>
        </w:tc>
        <w:tc>
          <w:tcPr>
            <w:tcW w:w="1095" w:type="dxa"/>
            <w:vAlign w:val="center"/>
          </w:tcPr>
          <w:p>
            <w:pPr>
              <w:pStyle w:val="13"/>
            </w:pPr>
            <w:r>
              <w:t>79.33</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20131</w:t>
            </w:r>
          </w:p>
        </w:tc>
        <w:tc>
          <w:tcPr>
            <w:tcW w:w="1095" w:type="dxa"/>
            <w:vAlign w:val="center"/>
          </w:tcPr>
          <w:p>
            <w:pPr>
              <w:pStyle w:val="14"/>
            </w:pPr>
            <w:r>
              <w:t>党委办公厅（室）及相关机构事务</w:t>
            </w:r>
          </w:p>
        </w:tc>
        <w:tc>
          <w:tcPr>
            <w:tcW w:w="1095" w:type="dxa"/>
            <w:vAlign w:val="center"/>
          </w:tcPr>
          <w:p>
            <w:pPr>
              <w:pStyle w:val="13"/>
            </w:pPr>
            <w:r>
              <w:t>90.33</w:t>
            </w:r>
          </w:p>
        </w:tc>
        <w:tc>
          <w:tcPr>
            <w:tcW w:w="1095" w:type="dxa"/>
            <w:vAlign w:val="center"/>
          </w:tcPr>
          <w:p>
            <w:pPr>
              <w:pStyle w:val="13"/>
            </w:pPr>
            <w:r>
              <w:t>79.33</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2013101</w:t>
            </w:r>
          </w:p>
        </w:tc>
        <w:tc>
          <w:tcPr>
            <w:tcW w:w="1095" w:type="dxa"/>
            <w:vAlign w:val="center"/>
          </w:tcPr>
          <w:p>
            <w:pPr>
              <w:pStyle w:val="14"/>
            </w:pPr>
            <w:r>
              <w:t>行政运行</w:t>
            </w:r>
          </w:p>
        </w:tc>
        <w:tc>
          <w:tcPr>
            <w:tcW w:w="1095" w:type="dxa"/>
            <w:vAlign w:val="center"/>
          </w:tcPr>
          <w:p>
            <w:pPr>
              <w:pStyle w:val="13"/>
            </w:pPr>
            <w:r>
              <w:t>79.33</w:t>
            </w:r>
          </w:p>
        </w:tc>
        <w:tc>
          <w:tcPr>
            <w:tcW w:w="1095" w:type="dxa"/>
            <w:vAlign w:val="center"/>
          </w:tcPr>
          <w:p>
            <w:pPr>
              <w:pStyle w:val="13"/>
            </w:pPr>
            <w:r>
              <w:t>79.33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2013105</w:t>
            </w:r>
          </w:p>
        </w:tc>
        <w:tc>
          <w:tcPr>
            <w:tcW w:w="1095" w:type="dxa"/>
            <w:vAlign w:val="center"/>
          </w:tcPr>
          <w:p>
            <w:pPr>
              <w:pStyle w:val="14"/>
            </w:pPr>
            <w:r>
              <w:t>专项业务</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11.90</w:t>
            </w:r>
          </w:p>
        </w:tc>
        <w:tc>
          <w:tcPr>
            <w:tcW w:w="1095" w:type="dxa"/>
            <w:vAlign w:val="center"/>
          </w:tcPr>
          <w:p>
            <w:pPr>
              <w:pStyle w:val="13"/>
            </w:pPr>
            <w:r>
              <w:t>11.90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11.42</w:t>
            </w:r>
          </w:p>
        </w:tc>
        <w:tc>
          <w:tcPr>
            <w:tcW w:w="1095" w:type="dxa"/>
            <w:vAlign w:val="center"/>
          </w:tcPr>
          <w:p>
            <w:pPr>
              <w:pStyle w:val="13"/>
            </w:pPr>
            <w:r>
              <w:t>11.42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2.33</w:t>
            </w:r>
          </w:p>
        </w:tc>
        <w:tc>
          <w:tcPr>
            <w:tcW w:w="1095" w:type="dxa"/>
            <w:vAlign w:val="center"/>
          </w:tcPr>
          <w:p>
            <w:pPr>
              <w:pStyle w:val="13"/>
            </w:pPr>
            <w:r>
              <w:t>2.33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9.09</w:t>
            </w:r>
          </w:p>
        </w:tc>
        <w:tc>
          <w:tcPr>
            <w:tcW w:w="1095" w:type="dxa"/>
            <w:vAlign w:val="center"/>
          </w:tcPr>
          <w:p>
            <w:pPr>
              <w:pStyle w:val="13"/>
            </w:pPr>
            <w:r>
              <w:t>9.09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117.76</w:t>
            </w:r>
          </w:p>
        </w:tc>
        <w:tc>
          <w:tcPr>
            <w:tcW w:w="1232" w:type="dxa"/>
            <w:vAlign w:val="center"/>
          </w:tcPr>
          <w:p>
            <w:pPr>
              <w:pStyle w:val="14"/>
            </w:pPr>
            <w:r>
              <w:t>一、一般公共服务支出</w:t>
            </w:r>
          </w:p>
        </w:tc>
        <w:tc>
          <w:tcPr>
            <w:tcW w:w="1232" w:type="dxa"/>
            <w:vAlign w:val="center"/>
          </w:tcPr>
          <w:p>
            <w:pPr>
              <w:pStyle w:val="13"/>
            </w:pPr>
            <w:r>
              <w:t>90.33</w:t>
            </w:r>
          </w:p>
        </w:tc>
        <w:tc>
          <w:tcPr>
            <w:tcW w:w="1232" w:type="dxa"/>
            <w:vAlign w:val="center"/>
          </w:tcPr>
          <w:p>
            <w:pPr>
              <w:pStyle w:val="13"/>
            </w:pPr>
            <w:r>
              <w:t>90.33</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11.90</w:t>
            </w:r>
          </w:p>
        </w:tc>
        <w:tc>
          <w:tcPr>
            <w:tcW w:w="1232" w:type="dxa"/>
            <w:vAlign w:val="center"/>
          </w:tcPr>
          <w:p>
            <w:pPr>
              <w:pStyle w:val="13"/>
            </w:pPr>
            <w:r>
              <w:t>11.90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5.55</w:t>
            </w:r>
          </w:p>
        </w:tc>
        <w:tc>
          <w:tcPr>
            <w:tcW w:w="1232" w:type="dxa"/>
            <w:vAlign w:val="center"/>
          </w:tcPr>
          <w:p>
            <w:pPr>
              <w:pStyle w:val="13"/>
            </w:pPr>
            <w:r>
              <w:t>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9.98</w:t>
            </w:r>
          </w:p>
        </w:tc>
        <w:tc>
          <w:tcPr>
            <w:tcW w:w="1232" w:type="dxa"/>
            <w:vAlign w:val="center"/>
          </w:tcPr>
          <w:p>
            <w:pPr>
              <w:pStyle w:val="13"/>
            </w:pPr>
            <w:r>
              <w:t>9.98</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117.76</w:t>
            </w:r>
          </w:p>
        </w:tc>
        <w:tc>
          <w:tcPr>
            <w:tcW w:w="1232" w:type="dxa"/>
            <w:vAlign w:val="center"/>
          </w:tcPr>
          <w:p>
            <w:pPr>
              <w:pStyle w:val="16"/>
            </w:pPr>
            <w:r>
              <w:t>本年支出合计</w:t>
            </w:r>
          </w:p>
        </w:tc>
        <w:tc>
          <w:tcPr>
            <w:tcW w:w="1232" w:type="dxa"/>
            <w:vAlign w:val="center"/>
          </w:tcPr>
          <w:p>
            <w:pPr>
              <w:pStyle w:val="17"/>
            </w:pPr>
            <w:r>
              <w:t>117.76</w:t>
            </w:r>
          </w:p>
        </w:tc>
        <w:tc>
          <w:tcPr>
            <w:tcW w:w="1232" w:type="dxa"/>
            <w:vAlign w:val="center"/>
          </w:tcPr>
          <w:p>
            <w:pPr>
              <w:pStyle w:val="17"/>
            </w:pPr>
            <w:r>
              <w:t>117.76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117.76</w:t>
            </w:r>
          </w:p>
        </w:tc>
        <w:tc>
          <w:tcPr>
            <w:tcW w:w="1232" w:type="dxa"/>
            <w:vAlign w:val="center"/>
          </w:tcPr>
          <w:p>
            <w:pPr>
              <w:pStyle w:val="16"/>
            </w:pPr>
            <w:r>
              <w:t>支出总计</w:t>
            </w:r>
          </w:p>
        </w:tc>
        <w:tc>
          <w:tcPr>
            <w:tcW w:w="1232" w:type="dxa"/>
            <w:vAlign w:val="center"/>
          </w:tcPr>
          <w:p>
            <w:pPr>
              <w:pStyle w:val="17"/>
            </w:pPr>
            <w:r>
              <w:t>117.76</w:t>
            </w:r>
          </w:p>
        </w:tc>
        <w:tc>
          <w:tcPr>
            <w:tcW w:w="1232" w:type="dxa"/>
            <w:vAlign w:val="center"/>
          </w:tcPr>
          <w:p>
            <w:pPr>
              <w:pStyle w:val="17"/>
            </w:pPr>
            <w:r>
              <w:t>117.76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117.76</w:t>
            </w:r>
          </w:p>
        </w:tc>
        <w:tc>
          <w:tcPr>
            <w:tcW w:w="1643" w:type="dxa"/>
            <w:vAlign w:val="center"/>
          </w:tcPr>
          <w:p>
            <w:pPr>
              <w:pStyle w:val="17"/>
            </w:pPr>
            <w:r>
              <w:t>106.76</w:t>
            </w:r>
          </w:p>
        </w:tc>
        <w:tc>
          <w:tcPr>
            <w:tcW w:w="1643" w:type="dxa"/>
            <w:vAlign w:val="center"/>
          </w:tcPr>
          <w:p>
            <w:pPr>
              <w:pStyle w:val="17"/>
            </w:pPr>
            <w:r>
              <w:t>11.00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90.33</w:t>
            </w:r>
          </w:p>
        </w:tc>
        <w:tc>
          <w:tcPr>
            <w:tcW w:w="1643" w:type="dxa"/>
            <w:vAlign w:val="center"/>
          </w:tcPr>
          <w:p>
            <w:pPr>
              <w:pStyle w:val="13"/>
            </w:pPr>
            <w:r>
              <w:t>79.33</w:t>
            </w:r>
          </w:p>
        </w:tc>
        <w:tc>
          <w:tcPr>
            <w:tcW w:w="1643" w:type="dxa"/>
            <w:vAlign w:val="center"/>
          </w:tcPr>
          <w:p>
            <w:pPr>
              <w:pStyle w:val="13"/>
            </w:pPr>
            <w:r>
              <w:t>11.00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20131</w:t>
            </w:r>
          </w:p>
        </w:tc>
        <w:tc>
          <w:tcPr>
            <w:tcW w:w="1643" w:type="dxa"/>
            <w:vAlign w:val="center"/>
          </w:tcPr>
          <w:p>
            <w:pPr>
              <w:pStyle w:val="14"/>
            </w:pPr>
            <w:r>
              <w:t>党委办公厅（室）及相关机构事务</w:t>
            </w:r>
          </w:p>
        </w:tc>
        <w:tc>
          <w:tcPr>
            <w:tcW w:w="1643" w:type="dxa"/>
            <w:vAlign w:val="center"/>
          </w:tcPr>
          <w:p>
            <w:pPr>
              <w:pStyle w:val="13"/>
            </w:pPr>
            <w:r>
              <w:t>90.33</w:t>
            </w:r>
          </w:p>
        </w:tc>
        <w:tc>
          <w:tcPr>
            <w:tcW w:w="1643" w:type="dxa"/>
            <w:vAlign w:val="center"/>
          </w:tcPr>
          <w:p>
            <w:pPr>
              <w:pStyle w:val="13"/>
            </w:pPr>
            <w:r>
              <w:t>79.33</w:t>
            </w:r>
          </w:p>
        </w:tc>
        <w:tc>
          <w:tcPr>
            <w:tcW w:w="1643" w:type="dxa"/>
            <w:vAlign w:val="center"/>
          </w:tcPr>
          <w:p>
            <w:pPr>
              <w:pStyle w:val="13"/>
            </w:pPr>
            <w:r>
              <w:t>11.00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2013101</w:t>
            </w:r>
          </w:p>
        </w:tc>
        <w:tc>
          <w:tcPr>
            <w:tcW w:w="1643" w:type="dxa"/>
            <w:vAlign w:val="center"/>
          </w:tcPr>
          <w:p>
            <w:pPr>
              <w:pStyle w:val="14"/>
            </w:pPr>
            <w:r>
              <w:t>行政运行</w:t>
            </w:r>
          </w:p>
        </w:tc>
        <w:tc>
          <w:tcPr>
            <w:tcW w:w="1643" w:type="dxa"/>
            <w:vAlign w:val="center"/>
          </w:tcPr>
          <w:p>
            <w:pPr>
              <w:pStyle w:val="13"/>
            </w:pPr>
            <w:r>
              <w:t>79.33</w:t>
            </w:r>
          </w:p>
        </w:tc>
        <w:tc>
          <w:tcPr>
            <w:tcW w:w="1643" w:type="dxa"/>
            <w:vAlign w:val="center"/>
          </w:tcPr>
          <w:p>
            <w:pPr>
              <w:pStyle w:val="13"/>
            </w:pPr>
            <w:r>
              <w:t>79.33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2013105</w:t>
            </w:r>
          </w:p>
        </w:tc>
        <w:tc>
          <w:tcPr>
            <w:tcW w:w="1643" w:type="dxa"/>
            <w:vAlign w:val="center"/>
          </w:tcPr>
          <w:p>
            <w:pPr>
              <w:pStyle w:val="14"/>
            </w:pPr>
            <w:r>
              <w:t>专项业务</w:t>
            </w:r>
          </w:p>
        </w:tc>
        <w:tc>
          <w:tcPr>
            <w:tcW w:w="1643" w:type="dxa"/>
            <w:vAlign w:val="center"/>
          </w:tcPr>
          <w:p>
            <w:pPr>
              <w:pStyle w:val="13"/>
            </w:pPr>
            <w:r>
              <w:t>11.00</w:t>
            </w:r>
          </w:p>
        </w:tc>
        <w:tc>
          <w:tcPr>
            <w:tcW w:w="1643" w:type="dxa"/>
            <w:vAlign w:val="center"/>
          </w:tcPr>
          <w:p>
            <w:pPr>
              <w:pStyle w:val="13"/>
            </w:pP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11.90</w:t>
            </w:r>
          </w:p>
        </w:tc>
        <w:tc>
          <w:tcPr>
            <w:tcW w:w="1643" w:type="dxa"/>
            <w:vAlign w:val="center"/>
          </w:tcPr>
          <w:p>
            <w:pPr>
              <w:pStyle w:val="13"/>
            </w:pPr>
            <w:r>
              <w:t>11.90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11.42</w:t>
            </w:r>
          </w:p>
        </w:tc>
        <w:tc>
          <w:tcPr>
            <w:tcW w:w="1643" w:type="dxa"/>
            <w:vAlign w:val="center"/>
          </w:tcPr>
          <w:p>
            <w:pPr>
              <w:pStyle w:val="13"/>
            </w:pPr>
            <w:r>
              <w:t>11.42</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2.33</w:t>
            </w:r>
          </w:p>
        </w:tc>
        <w:tc>
          <w:tcPr>
            <w:tcW w:w="1643" w:type="dxa"/>
            <w:vAlign w:val="center"/>
          </w:tcPr>
          <w:p>
            <w:pPr>
              <w:pStyle w:val="13"/>
            </w:pPr>
            <w:r>
              <w:t>2.33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9.09</w:t>
            </w:r>
          </w:p>
        </w:tc>
        <w:tc>
          <w:tcPr>
            <w:tcW w:w="1643" w:type="dxa"/>
            <w:vAlign w:val="center"/>
          </w:tcPr>
          <w:p>
            <w:pPr>
              <w:pStyle w:val="13"/>
            </w:pPr>
            <w:r>
              <w:t>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20899</w:t>
            </w:r>
          </w:p>
        </w:tc>
        <w:tc>
          <w:tcPr>
            <w:tcW w:w="1643" w:type="dxa"/>
            <w:vAlign w:val="center"/>
          </w:tcPr>
          <w:p>
            <w:pPr>
              <w:pStyle w:val="14"/>
            </w:pPr>
            <w:r>
              <w:t>其他社会保障和就业支出</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2089999</w:t>
            </w:r>
          </w:p>
        </w:tc>
        <w:tc>
          <w:tcPr>
            <w:tcW w:w="1643" w:type="dxa"/>
            <w:vAlign w:val="center"/>
          </w:tcPr>
          <w:p>
            <w:pPr>
              <w:pStyle w:val="14"/>
            </w:pPr>
            <w:r>
              <w:t>其他社会保障和就业支出</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106.76</w:t>
            </w:r>
          </w:p>
        </w:tc>
        <w:tc>
          <w:tcPr>
            <w:tcW w:w="1643" w:type="dxa"/>
            <w:vAlign w:val="center"/>
          </w:tcPr>
          <w:p>
            <w:pPr>
              <w:pStyle w:val="17"/>
            </w:pPr>
            <w:r>
              <w:t>102.04</w:t>
            </w:r>
          </w:p>
        </w:tc>
        <w:tc>
          <w:tcPr>
            <w:tcW w:w="1643" w:type="dxa"/>
            <w:vAlign w:val="center"/>
          </w:tcPr>
          <w:p>
            <w:pPr>
              <w:pStyle w:val="17"/>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93.14</w:t>
            </w:r>
          </w:p>
        </w:tc>
        <w:tc>
          <w:tcPr>
            <w:tcW w:w="1643" w:type="dxa"/>
            <w:vAlign w:val="center"/>
          </w:tcPr>
          <w:p>
            <w:pPr>
              <w:pStyle w:val="13"/>
            </w:pPr>
            <w:r>
              <w:t>93.14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30.02</w:t>
            </w:r>
          </w:p>
        </w:tc>
        <w:tc>
          <w:tcPr>
            <w:tcW w:w="1643" w:type="dxa"/>
            <w:vAlign w:val="center"/>
          </w:tcPr>
          <w:p>
            <w:pPr>
              <w:pStyle w:val="13"/>
            </w:pPr>
            <w:r>
              <w:t>30.02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15.61</w:t>
            </w:r>
          </w:p>
        </w:tc>
        <w:tc>
          <w:tcPr>
            <w:tcW w:w="1643" w:type="dxa"/>
            <w:vAlign w:val="center"/>
          </w:tcPr>
          <w:p>
            <w:pPr>
              <w:pStyle w:val="13"/>
            </w:pPr>
            <w:r>
              <w:t>15.61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17.30</w:t>
            </w:r>
          </w:p>
        </w:tc>
        <w:tc>
          <w:tcPr>
            <w:tcW w:w="1643" w:type="dxa"/>
            <w:vAlign w:val="center"/>
          </w:tcPr>
          <w:p>
            <w:pPr>
              <w:pStyle w:val="13"/>
            </w:pPr>
            <w:r>
              <w:t>17.30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5.11</w:t>
            </w:r>
          </w:p>
        </w:tc>
        <w:tc>
          <w:tcPr>
            <w:tcW w:w="1643" w:type="dxa"/>
            <w:vAlign w:val="center"/>
          </w:tcPr>
          <w:p>
            <w:pPr>
              <w:pStyle w:val="13"/>
            </w:pPr>
            <w:r>
              <w:t>5.11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9.09</w:t>
            </w:r>
          </w:p>
        </w:tc>
        <w:tc>
          <w:tcPr>
            <w:tcW w:w="1643" w:type="dxa"/>
            <w:vAlign w:val="center"/>
          </w:tcPr>
          <w:p>
            <w:pPr>
              <w:pStyle w:val="13"/>
            </w:pPr>
            <w:r>
              <w:t>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10.45</w:t>
            </w:r>
          </w:p>
        </w:tc>
        <w:tc>
          <w:tcPr>
            <w:tcW w:w="1643" w:type="dxa"/>
            <w:vAlign w:val="center"/>
          </w:tcPr>
          <w:p>
            <w:pPr>
              <w:pStyle w:val="13"/>
            </w:pPr>
            <w:r>
              <w:t>6.12</w:t>
            </w:r>
          </w:p>
        </w:tc>
        <w:tc>
          <w:tcPr>
            <w:tcW w:w="1643" w:type="dxa"/>
            <w:vAlign w:val="center"/>
          </w:tcPr>
          <w:p>
            <w:pPr>
              <w:pStyle w:val="13"/>
            </w:pPr>
            <w: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0.47</w:t>
            </w:r>
          </w:p>
        </w:tc>
        <w:tc>
          <w:tcPr>
            <w:tcW w:w="1643" w:type="dxa"/>
            <w:vAlign w:val="center"/>
          </w:tcPr>
          <w:p>
            <w:pPr>
              <w:pStyle w:val="13"/>
            </w:pPr>
          </w:p>
        </w:tc>
        <w:tc>
          <w:tcPr>
            <w:tcW w:w="1643" w:type="dxa"/>
            <w:vAlign w:val="center"/>
          </w:tcPr>
          <w:p>
            <w:pPr>
              <w:pStyle w:val="13"/>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2.70</w:t>
            </w:r>
          </w:p>
        </w:tc>
        <w:tc>
          <w:tcPr>
            <w:tcW w:w="1643" w:type="dxa"/>
            <w:vAlign w:val="center"/>
          </w:tcPr>
          <w:p>
            <w:pPr>
              <w:pStyle w:val="13"/>
            </w:pPr>
            <w:r>
              <w:t>2.70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0.54</w:t>
            </w:r>
          </w:p>
        </w:tc>
        <w:tc>
          <w:tcPr>
            <w:tcW w:w="1643" w:type="dxa"/>
            <w:vAlign w:val="center"/>
          </w:tcPr>
          <w:p>
            <w:pPr>
              <w:pStyle w:val="13"/>
            </w:pPr>
          </w:p>
        </w:tc>
        <w:tc>
          <w:tcPr>
            <w:tcW w:w="1643" w:type="dxa"/>
            <w:vAlign w:val="center"/>
          </w:tcPr>
          <w:p>
            <w:pPr>
              <w:pStyle w:val="13"/>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0.75</w:t>
            </w:r>
          </w:p>
        </w:tc>
        <w:tc>
          <w:tcPr>
            <w:tcW w:w="1643" w:type="dxa"/>
            <w:vAlign w:val="center"/>
          </w:tcPr>
          <w:p>
            <w:pPr>
              <w:pStyle w:val="13"/>
            </w:pPr>
          </w:p>
        </w:tc>
        <w:tc>
          <w:tcPr>
            <w:tcW w:w="1643"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5.92</w:t>
            </w:r>
          </w:p>
        </w:tc>
        <w:tc>
          <w:tcPr>
            <w:tcW w:w="1643" w:type="dxa"/>
            <w:vAlign w:val="center"/>
          </w:tcPr>
          <w:p>
            <w:pPr>
              <w:pStyle w:val="13"/>
            </w:pPr>
            <w:r>
              <w:t>3.42</w:t>
            </w:r>
          </w:p>
        </w:tc>
        <w:tc>
          <w:tcPr>
            <w:tcW w:w="1643"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0.07</w:t>
            </w:r>
          </w:p>
        </w:tc>
        <w:tc>
          <w:tcPr>
            <w:tcW w:w="1643" w:type="dxa"/>
            <w:vAlign w:val="center"/>
          </w:tcPr>
          <w:p>
            <w:pPr>
              <w:pStyle w:val="13"/>
            </w:pPr>
          </w:p>
        </w:tc>
        <w:tc>
          <w:tcPr>
            <w:tcW w:w="1643" w:type="dxa"/>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2.78</w:t>
            </w:r>
          </w:p>
        </w:tc>
        <w:tc>
          <w:tcPr>
            <w:tcW w:w="1643" w:type="dxa"/>
            <w:vAlign w:val="center"/>
          </w:tcPr>
          <w:p>
            <w:pPr>
              <w:pStyle w:val="13"/>
            </w:pPr>
            <w:r>
              <w:t>2.78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2.33</w:t>
            </w:r>
          </w:p>
        </w:tc>
        <w:tc>
          <w:tcPr>
            <w:tcW w:w="1643" w:type="dxa"/>
            <w:vAlign w:val="center"/>
          </w:tcPr>
          <w:p>
            <w:pPr>
              <w:pStyle w:val="13"/>
            </w:pPr>
            <w:r>
              <w:t>2.33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0.45</w:t>
            </w:r>
          </w:p>
        </w:tc>
        <w:tc>
          <w:tcPr>
            <w:tcW w:w="1643" w:type="dxa"/>
            <w:vAlign w:val="center"/>
          </w:tcPr>
          <w:p>
            <w:pPr>
              <w:pStyle w:val="13"/>
            </w:pPr>
            <w:r>
              <w:t>0.45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0.40</w:t>
            </w:r>
          </w:p>
        </w:tc>
        <w:tc>
          <w:tcPr>
            <w:tcW w:w="1643" w:type="dxa"/>
            <w:vAlign w:val="center"/>
          </w:tcPr>
          <w:p>
            <w:pPr>
              <w:pStyle w:val="13"/>
            </w:pPr>
          </w:p>
        </w:tc>
        <w:tc>
          <w:tcPr>
            <w:tcW w:w="1643"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0.40</w:t>
            </w:r>
          </w:p>
        </w:tc>
        <w:tc>
          <w:tcPr>
            <w:tcW w:w="1643" w:type="dxa"/>
            <w:vAlign w:val="center"/>
          </w:tcPr>
          <w:p>
            <w:pPr>
              <w:pStyle w:val="13"/>
            </w:pPr>
          </w:p>
        </w:tc>
        <w:tc>
          <w:tcPr>
            <w:tcW w:w="1643" w:type="dxa"/>
            <w:vAlign w:val="center"/>
          </w:tcPr>
          <w:p>
            <w:pPr>
              <w:pStyle w:val="13"/>
            </w:pPr>
            <w:r>
              <w:t>0.40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中国共产党新乐市委员会机构编制委员会办公室2023年部门预算信息公开情况说明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中国共产党新乐市委员会机构编制委员会办公室2023年部门预算信息公开情况说明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按照《预算法》、《地方预决算公开操作规程》和《关于进一步推进预算公开工作的实施意见》规定，现将中国共产党新乐市委员会机构编制委员会办公室2023年部门预算公开如下：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和省委、石家庄市委、新乐市委关于行政管理体制和机构改革以及机构编制管理的政策法规，组织起草相关规范性文件草案并监督实施。管理和指导市纪委监委机关及其派驻纪检监察组、市委各机关、市人大机关、市政府各部门、市政协机关、人民团体机关（以下简称“党政群机关”），乡镇（街道）以及事业单位机构编制工作。组织开展行政管理体制改革、事业单位管理体制改革及机构编制工作基础性、创新性和前瞻性研究。</w:t>
      </w:r>
    </w:p>
    <w:p>
      <w:pPr>
        <w:pStyle w:val="19"/>
      </w:pPr>
      <w:r>
        <w:t>（二）组织拟订全市行政管理体制改革和市委、市政府机构改革方案并组织实施。负责全市行政管理体制和机构改革以及机构编制管理工作；负责行政执法体制改革工作。</w:t>
      </w:r>
    </w:p>
    <w:p>
      <w:pPr>
        <w:pStyle w:val="19"/>
      </w:pPr>
      <w:r>
        <w:t>（三）按照规定权限，负责全市党政群机关、部门派出机构、乡镇（街道）的职能配置、机构设置、人员编制和领导职数管理工作；负责协调市委、市政府各部门职能配置及其调整，协调市委、市政府各部门之间以及市直部门与乡镇（街道）之间职责分工；负责需要承办的省以下垂直管理部门或双重管理部门（单位）机构编制有关工作。</w:t>
      </w:r>
    </w:p>
    <w:p>
      <w:pPr>
        <w:pStyle w:val="19"/>
      </w:pPr>
      <w:r>
        <w:t>（四）组织拟订全市事业单位管理体制改革和机构改革方案。拟订各类事业单位人员编制管理规定并组织实施。按照规定权限，负责市委直属事业单位和市直部门所属事业单位的职能配置、机构设置、人员编制和领导职数管理工作。</w:t>
      </w:r>
    </w:p>
    <w:p>
      <w:pPr>
        <w:pStyle w:val="19"/>
      </w:pPr>
      <w:r>
        <w:t>（五）负责乡镇（街道）行政管理体制改革、事业单位管理体制改革和机构改革工作，审核机构改革方案。负责机构编制分类；负责党政群机关副科级以上行政机构、事业单位和新设事业单位报批工作。</w:t>
      </w:r>
    </w:p>
    <w:p>
      <w:pPr>
        <w:pStyle w:val="19"/>
      </w:pPr>
      <w:r>
        <w:t>（六）负责全市党政群机关统一社会信用代码赋码管理工作，负责全市事业单位法人登记管理和监督检查工作。</w:t>
      </w:r>
    </w:p>
    <w:p>
      <w:pPr>
        <w:pStyle w:val="19"/>
      </w:pPr>
      <w:r>
        <w:t>（七）负责开发区（园区）行政管理体制改革工作。贯彻落实开发区（园区）机构编制管理办法；负责开发区（园区）职能配置、机构设置、人员编制和领导职数审核及上报工作。</w:t>
      </w:r>
    </w:p>
    <w:p>
      <w:pPr>
        <w:pStyle w:val="19"/>
      </w:pPr>
      <w:r>
        <w:t>（八）负责全市机构编制的总量控制、动态管理。组织拟订年度编制使用计划、机关事业单位招录、招聘和政策性安置等计划；负责机关事业单位编制使用核准；负责机构编制实名制管理工作；建立健全机构编制部门与有关部门的协调配合约束机制。</w:t>
      </w:r>
    </w:p>
    <w:p>
      <w:pPr>
        <w:pStyle w:val="19"/>
      </w:pPr>
      <w:r>
        <w:t>（九）负责跟踪评估、监督检查全市行政、事业单位管理体制改革、机构改革及机构编制政策执行情况；负责受理违反机构编制法规、纪律的检举、控告和投诉，对违反机构编制法规、纪律问题进行调查处理。</w:t>
      </w:r>
    </w:p>
    <w:p>
      <w:pPr>
        <w:pStyle w:val="19"/>
      </w:pPr>
      <w:r>
        <w:t>（十）负责全市机构编制电子政务和信息化工作。负责全市机构编制统计工作；负责机构编制网站的管理、使用和维护；负责党政群机关、事业单位和其他非营利性单位网上名称管理工作。</w:t>
      </w:r>
    </w:p>
    <w:p>
      <w:pPr>
        <w:pStyle w:val="19"/>
      </w:pPr>
      <w:r>
        <w:t>（十一）完成市委、市政府和市委机构编制委员会交办的其他任务。</w:t>
      </w:r>
    </w:p>
    <w:p>
      <w:pPr>
        <w:pStyle w:val="19"/>
      </w:pPr>
      <w:r>
        <w:t>（十二）有关职责分工。</w:t>
      </w:r>
    </w:p>
    <w:p>
      <w:pPr>
        <w:pStyle w:val="19"/>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中国共产党新乐市委员会机构编制委员会办公室本级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按照预算管理有关规定，目前我省部门预算的编制实行综合预算管理，即全部收入和支出都反映在预算中。中国共产党新乐市委员会机构编制委员会办公室机关及所属事业单位的收支包含在部门预算中。</w:t>
      </w:r>
    </w:p>
    <w:p>
      <w:pPr>
        <w:pStyle w:val="20"/>
      </w:pPr>
      <w:r>
        <w:t>1、收入说明</w:t>
      </w:r>
    </w:p>
    <w:p>
      <w:pPr>
        <w:pStyle w:val="20"/>
      </w:pPr>
      <w:r>
        <w:t>2023年预算收入117.76万元，其中：一般公共预算收入117.76万元，基金预算收入0万元，财政专户核拨收入0万元，其他来源收入0万元，上年结转结余0万元。</w:t>
      </w:r>
    </w:p>
    <w:p>
      <w:pPr>
        <w:pStyle w:val="20"/>
      </w:pPr>
      <w:r>
        <w:t>2、支出说明</w:t>
      </w:r>
    </w:p>
    <w:p>
      <w:pPr>
        <w:pStyle w:val="20"/>
      </w:pPr>
      <w:r>
        <w:t>收支预算总表支出栏、基本支出表、项目支出表按经济分类和支出功能分类科目编制，反映</w:t>
      </w:r>
      <w:r>
        <w:rPr>
          <w:rFonts w:hint="eastAsia"/>
          <w:lang w:val="en-US" w:eastAsia="zh-CN"/>
        </w:rPr>
        <w:t>我部门</w:t>
      </w:r>
      <w:r>
        <w:t>预算中支出预算的总体情况。2023年支出预算为117.76万元，其中基本支出106.76万元，包括人员经费102.04万元和日常公用经费4.73万元；项目支出11万元，主要为改革经费支出5万元，中文域名续缴费支出6万元；其他支出0万元。</w:t>
      </w:r>
    </w:p>
    <w:p>
      <w:pPr>
        <w:pStyle w:val="20"/>
      </w:pPr>
      <w:r>
        <w:t>3、比上年增减情况</w:t>
      </w:r>
    </w:p>
    <w:p>
      <w:pPr>
        <w:pStyle w:val="20"/>
      </w:pPr>
      <w:r>
        <w:t>2023年预算收支安排117.76万元，较2022年增加4.24万元，其中：基本支出增加6.06万元，主要是人员增加，相应增加人员经费和日常公用经费；项目支出较2022年减少1.82万元，主要是节约经费，减少支出。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w:t>
      </w:r>
      <w:r>
        <w:rPr>
          <w:rFonts w:hint="eastAsia"/>
          <w:lang w:val="en-US" w:eastAsia="zh-CN"/>
        </w:rPr>
        <w:t>我部门</w:t>
      </w:r>
      <w:r>
        <w:t>机关运行经费共计安排4.73万元，主要用于保证机关正常运转的办公费、离退休干部经费、其他交通费、工会经费、福利费、党组织活动经费等支出。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w:t>
      </w:r>
      <w:r>
        <w:rPr>
          <w:rFonts w:hint="eastAsia"/>
          <w:lang w:val="en-US" w:eastAsia="zh-CN"/>
        </w:rPr>
        <w:t>我部门</w:t>
      </w:r>
      <w:r>
        <w:t>财政拨款“三公”经费预算安排0万元，其中因公出国（境）费0万元；公务用车购置及运维费0万元（其中：公务用车购置费为0万元，公务用车运维费0万元)；公务接待费0万元。</w:t>
      </w:r>
    </w:p>
    <w:p>
      <w:pPr>
        <w:pStyle w:val="22"/>
      </w:pPr>
      <w:r>
        <w:t>因公出国（境）费0万元，与上年相比持平，无增减变化，主要原因是年初没有安排因公出国费；</w:t>
      </w:r>
    </w:p>
    <w:p>
      <w:pPr>
        <w:pStyle w:val="22"/>
      </w:pPr>
      <w:r>
        <w:t>公务用车购置及运行维护费0万元(其中公务用车购0万元，公务用车运行维护费0万元），与上年相比持平，无增减变化，主要原因是公务用车严格执行相关制度，厉行节约；(其中公务用车购置与上年持平，无增减变化；公务用车运行维护费与上年相比持平，无增减变化）；</w:t>
      </w:r>
    </w:p>
    <w:p>
      <w:pPr>
        <w:pStyle w:val="22"/>
      </w:pPr>
      <w:r>
        <w:t>公务接待费0万元，与上年相比持平，无增减变化，主要原因为中央厉行节约的原则，预算中无公务接待费安排。</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以习近平新时代中国特色社会主义思想为指导，深入贯彻党的二十大精神，认真落实市委全会以及全国、全市编办主任会议精神，以加强党的全面领导为统领，继续深化乡镇和街道改革，落实政府权责清单制度，稳步推进事业单位改革，创新机构编制管理，统筹配置机构编制资源，做好机关人员管理及保障工作，全力推动现代化经济强市、美丽新乐建设再上新台阶，提供坚强有力的体制和机构编制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1、加强机构编制资源配置</w:t>
      </w:r>
    </w:p>
    <w:p>
      <w:pPr>
        <w:pStyle w:val="24"/>
      </w:pPr>
      <w:r>
        <w:t>绩效目标：深入贯彻落实《中国共产党机构编制工作条例》《中共河北省委机构编制管理规定》，坚持机构编制瘦身和健身相结合，围绕全市重大战略和工作大局，将有限的机构编制资源向关键环节和民生领域倾斜，有力保障了省会各项事业发展的需要。</w:t>
      </w:r>
    </w:p>
    <w:p>
      <w:pPr>
        <w:pStyle w:val="24"/>
      </w:pPr>
      <w:r>
        <w:t>绩效指标：完善机构编制工作制度体系，按照“成熟一个、出台一个”的原则，制定《机构编制事项办理办法》。从严机构编制监督检查，对全市机构编制进行大起底、大排查、大纠偏、实现“四清、两对应”。从严规范事业单位登记管</w:t>
      </w:r>
    </w:p>
    <w:p>
      <w:pPr>
        <w:pStyle w:val="24"/>
        <w:ind w:left="0" w:leftChars="0" w:firstLine="0" w:firstLineChars="0"/>
      </w:pPr>
      <w:r>
        <w:t>理工作，推进事业单位登记管理规范化运行。</w:t>
      </w:r>
    </w:p>
    <w:p>
      <w:pPr>
        <w:pStyle w:val="24"/>
      </w:pPr>
      <w:r>
        <w:t>2、做好2022年度事业单位法人年度报告工作。</w:t>
      </w:r>
    </w:p>
    <w:p>
      <w:pPr>
        <w:pStyle w:val="24"/>
      </w:pPr>
      <w:r>
        <w:t>绩效目标：对全市事业单位数量、事业单位法人登记情况进行全面梳理、逐一核对，摸清事业单位总数、登记总数、未登记数、应注销未注销数等基础数据，3月底前完成上一年度事业单位法人年度报告工作，并及时进行公示。</w:t>
      </w:r>
    </w:p>
    <w:p>
      <w:pPr>
        <w:pStyle w:val="24"/>
      </w:pPr>
      <w:r>
        <w:t>绩效指标：一是组织举办线上专题业务培训会，对申请变更登记、申请年度报告、申请证书补领、证书到期换领、申请注销登记等业务操作进行专题培训，确保申办人员熟练掌握网上操作方法、步骤及工作要求；二是列出受理、审核清单，明确受理人和审核人的岗位职责和审核要点，秉持高度负责的原则对申报材料进行严格把关。</w:t>
      </w:r>
    </w:p>
    <w:p>
      <w:pPr>
        <w:pStyle w:val="24"/>
      </w:pPr>
      <w:r>
        <w:t>3、做好规范中小学教职工编制管理工作。</w:t>
      </w:r>
    </w:p>
    <w:p>
      <w:pPr>
        <w:pStyle w:val="24"/>
      </w:pPr>
      <w:r>
        <w:t>绩效目标：持续加大事业单位挖潜力度，统筹盘活各类事业单位编制资源，加大机构编制倾斜力度，优先在本区域内保障中小学教职工编制需求。</w:t>
      </w:r>
    </w:p>
    <w:p>
      <w:pPr>
        <w:pStyle w:val="24"/>
      </w:pPr>
      <w:r>
        <w:t>绩效指标：一是推动人员编制在城乡、区域、学校及学段之间动态调整，提高教育系统人员编制效益，用足用好上级政策；二是继续落实全市中小学教职工编制城乡统一、区域协调和动态调整工作。</w:t>
      </w:r>
    </w:p>
    <w:p>
      <w:pPr>
        <w:pStyle w:val="24"/>
      </w:pPr>
      <w:r>
        <w:t>4、做好机构编制日常管理工作</w:t>
      </w:r>
    </w:p>
    <w:p>
      <w:pPr>
        <w:pStyle w:val="24"/>
      </w:pPr>
      <w:r>
        <w:t>绩效目标：深入贯彻落实《中国共产党机构编制工作条例》《中共河北省委机构编制管理规定》，严格按照《条例》和《规定》开展机构编制工作。</w:t>
      </w:r>
    </w:p>
    <w:p>
      <w:pPr>
        <w:pStyle w:val="24"/>
      </w:pPr>
      <w:r>
        <w:t>绩效指标：一是做好河北省机关事业单位人事管理“一网通办”系统使用、更新和动态维护工作；二是做好机关群团统一社会信用代码赋码工作；三是做好核编、《机构编制管理证》年度审核和机构编制年度统计等工作；四是结合石家庄市委编办工作部署，做好相关改革工作。</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加强组织领导，完善绩效制度。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制定各类资金使用和管理办法，确保资金支出有序进行，为全年预算绩效目标的实现奠定制度基础。</w:t>
      </w:r>
    </w:p>
    <w:p>
      <w:pPr>
        <w:pStyle w:val="25"/>
      </w:pPr>
      <w:r>
        <w:t>2、加强日常支出管理。按照“谁花钱、谁负责、谁举证”的原则，实现花钱必问效，确保财务与业务工作紧密衔接。按要求积极开展预算绩效中期评估、终极绩效评价，根据评价结果进行整改，确保绩效目标顺利实现。</w:t>
      </w:r>
    </w:p>
    <w:p>
      <w:pPr>
        <w:pStyle w:val="25"/>
      </w:pPr>
      <w:r>
        <w:t>3、加强绩效运行监控。按要求开展绩效运行监控，全程跟踪预算执行进度，对执行中发现问题及时采取措施，确保绩效目标如期保质实现。</w:t>
      </w:r>
    </w:p>
    <w:p>
      <w:pPr>
        <w:pStyle w:val="25"/>
      </w:pPr>
      <w:r>
        <w:t>4、规范财务资产管理。加强会计核算工作，严格执行财务资产管理相关制度，确保账面数字真实、完整，加强程序管理，严格审批程序，依照政府采购目录进行政府采购，加强固定资产登记、使用和报废处置管理，做到支出合理，物尽其用。</w:t>
      </w:r>
    </w:p>
    <w:p>
      <w:pPr>
        <w:pStyle w:val="25"/>
      </w:pPr>
      <w:r>
        <w:t>5、加强内部监督管理。注重内部监督制度建设，确保财政资金安全有效，最大限度发挥财政资金使用效益。</w:t>
      </w:r>
    </w:p>
    <w:p>
      <w:pPr>
        <w:pStyle w:val="25"/>
      </w:pPr>
      <w:r>
        <w:t>6、加强人才队伍建设。面对新的经济社会发展形势，机构编制部门工作人员要加强对新政策的学习、新问题的研究，用新的理论武装头脑，更新知识理论体系，探索解决新问题的方式方法。在学习锻炼中，增强自身素质，提高解决问题的能力，促进干部队伍整体进步。</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hint="eastAsia"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1、改革经费绩效目标表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rPr>
                <w:rFonts w:hint="eastAsia" w:eastAsia="方正书宋_GBK"/>
                <w:lang w:val="en-US" w:eastAsia="zh-CN"/>
              </w:rPr>
            </w:pPr>
            <w:r>
              <w:t>1.</w:t>
            </w:r>
            <w:r>
              <w:rPr>
                <w:rFonts w:hint="eastAsia"/>
                <w:lang w:eastAsia="zh-CN"/>
              </w:rPr>
              <w:t>完成机构改革相关工作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事业单位法人登记数量</w:t>
            </w:r>
          </w:p>
        </w:tc>
        <w:tc>
          <w:tcPr>
            <w:tcW w:w="2466" w:type="dxa"/>
            <w:vAlign w:val="center"/>
          </w:tcPr>
          <w:p>
            <w:pPr>
              <w:pStyle w:val="14"/>
            </w:pPr>
            <w:r>
              <w:t>完成事业单位法人年度报告工作</w:t>
            </w:r>
          </w:p>
        </w:tc>
        <w:tc>
          <w:tcPr>
            <w:tcW w:w="2466" w:type="dxa"/>
            <w:vAlign w:val="center"/>
          </w:tcPr>
          <w:p>
            <w:pPr>
              <w:pStyle w:val="14"/>
            </w:pPr>
            <w:r>
              <w:t>279个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各项工作高质量完成率</w:t>
            </w:r>
          </w:p>
        </w:tc>
        <w:tc>
          <w:tcPr>
            <w:tcW w:w="2466" w:type="dxa"/>
            <w:vAlign w:val="center"/>
          </w:tcPr>
          <w:p>
            <w:pPr>
              <w:pStyle w:val="14"/>
            </w:pPr>
            <w:r>
              <w:t>各项工作高质量完成率</w:t>
            </w:r>
          </w:p>
        </w:tc>
        <w:tc>
          <w:tcPr>
            <w:tcW w:w="2466" w:type="dxa"/>
            <w:vAlign w:val="center"/>
          </w:tcPr>
          <w:p>
            <w:pPr>
              <w:pStyle w:val="14"/>
            </w:pPr>
            <w:r>
              <w: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各项工作高质量完成率</w:t>
            </w:r>
          </w:p>
        </w:tc>
        <w:tc>
          <w:tcPr>
            <w:tcW w:w="2466" w:type="dxa"/>
            <w:vAlign w:val="center"/>
          </w:tcPr>
          <w:p>
            <w:pPr>
              <w:pStyle w:val="14"/>
            </w:pPr>
            <w:r>
              <w:t>各项工作按时完成率</w:t>
            </w:r>
          </w:p>
        </w:tc>
        <w:tc>
          <w:tcPr>
            <w:tcW w:w="2466" w:type="dxa"/>
            <w:vAlign w:val="center"/>
          </w:tcPr>
          <w:p>
            <w:pPr>
              <w:pStyle w:val="14"/>
            </w:pPr>
            <w:r>
              <w: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机构编制管理及党政机构、事业单位改革工作费用</w:t>
            </w:r>
          </w:p>
        </w:tc>
        <w:tc>
          <w:tcPr>
            <w:tcW w:w="2466" w:type="dxa"/>
            <w:vAlign w:val="center"/>
          </w:tcPr>
          <w:p>
            <w:pPr>
              <w:pStyle w:val="14"/>
            </w:pPr>
            <w:r>
              <w:t>机构编制管理及党政机构、事业单位改革工作费用</w:t>
            </w:r>
          </w:p>
        </w:tc>
        <w:tc>
          <w:tcPr>
            <w:tcW w:w="2466" w:type="dxa"/>
            <w:vAlign w:val="center"/>
          </w:tcPr>
          <w:p>
            <w:pPr>
              <w:pStyle w:val="14"/>
            </w:pPr>
            <w:r>
              <w:t>5万元</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公共服务水平提升情况</w:t>
            </w:r>
          </w:p>
        </w:tc>
        <w:tc>
          <w:tcPr>
            <w:tcW w:w="2466" w:type="dxa"/>
            <w:vAlign w:val="center"/>
          </w:tcPr>
          <w:p>
            <w:pPr>
              <w:pStyle w:val="14"/>
            </w:pPr>
            <w:r>
              <w:t>保障相关业务、工作等开展情况</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提供体制机制保障</w:t>
            </w:r>
          </w:p>
        </w:tc>
        <w:tc>
          <w:tcPr>
            <w:tcW w:w="2466" w:type="dxa"/>
            <w:vAlign w:val="center"/>
          </w:tcPr>
          <w:p>
            <w:pPr>
              <w:pStyle w:val="14"/>
            </w:pPr>
            <w:r>
              <w:t>为全市经济发展提供坚实体制机制保障</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增强影响力</w:t>
            </w:r>
          </w:p>
        </w:tc>
        <w:tc>
          <w:tcPr>
            <w:tcW w:w="2466" w:type="dxa"/>
            <w:vAlign w:val="center"/>
          </w:tcPr>
          <w:p>
            <w:pPr>
              <w:pStyle w:val="14"/>
            </w:pPr>
            <w:r>
              <w:t>增强影响力</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人民群众对我市行政、事业单位公益职能的满意程度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2、中文域名续缴费绩效目标表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rPr>
                <w:rFonts w:hint="eastAsia" w:eastAsia="方正书宋_GBK"/>
                <w:lang w:eastAsia="zh-CN"/>
              </w:rPr>
            </w:pPr>
            <w:r>
              <w:t>1.</w:t>
            </w:r>
            <w:r>
              <w:rPr>
                <w:rFonts w:hint="eastAsia"/>
                <w:lang w:eastAsia="zh-CN"/>
              </w:rPr>
              <w:t>完成全市中文域名续缴费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58个政务域名、333个公益域名，共计391个中文域名</w:t>
            </w:r>
          </w:p>
        </w:tc>
        <w:tc>
          <w:tcPr>
            <w:tcW w:w="2466" w:type="dxa"/>
            <w:vAlign w:val="center"/>
          </w:tcPr>
          <w:p>
            <w:pPr>
              <w:pStyle w:val="14"/>
            </w:pPr>
            <w:r>
              <w:t>391个</w:t>
            </w:r>
          </w:p>
        </w:tc>
        <w:tc>
          <w:tcPr>
            <w:tcW w:w="2466" w:type="dxa"/>
            <w:vAlign w:val="center"/>
          </w:tcPr>
          <w:p>
            <w:pPr>
              <w:pStyle w:val="14"/>
            </w:pPr>
            <w: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保障域名正常使用率</w:t>
            </w:r>
          </w:p>
        </w:tc>
        <w:tc>
          <w:tcPr>
            <w:tcW w:w="2466" w:type="dxa"/>
            <w:vAlign w:val="center"/>
          </w:tcPr>
          <w:p>
            <w:pPr>
              <w:pStyle w:val="14"/>
            </w:pPr>
            <w:r>
              <w:t>≥95%</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保障时间</w:t>
            </w:r>
          </w:p>
        </w:tc>
        <w:tc>
          <w:tcPr>
            <w:tcW w:w="2466" w:type="dxa"/>
            <w:vAlign w:val="center"/>
          </w:tcPr>
          <w:p>
            <w:pPr>
              <w:pStyle w:val="14"/>
            </w:pPr>
            <w:r>
              <w:t>全年</w:t>
            </w:r>
          </w:p>
        </w:tc>
        <w:tc>
          <w:tcPr>
            <w:tcW w:w="2466" w:type="dxa"/>
            <w:vAlign w:val="center"/>
          </w:tcPr>
          <w:p>
            <w:pPr>
              <w:pStyle w:val="14"/>
            </w:pPr>
            <w:r>
              <w:t>≥95%</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使用费用</w:t>
            </w:r>
          </w:p>
        </w:tc>
        <w:tc>
          <w:tcPr>
            <w:tcW w:w="2466" w:type="dxa"/>
            <w:vAlign w:val="center"/>
          </w:tcPr>
          <w:p>
            <w:pPr>
              <w:pStyle w:val="14"/>
            </w:pPr>
            <w:r>
              <w:t>使用费用</w:t>
            </w:r>
          </w:p>
        </w:tc>
        <w:tc>
          <w:tcPr>
            <w:tcW w:w="2466" w:type="dxa"/>
            <w:vAlign w:val="center"/>
          </w:tcPr>
          <w:p>
            <w:pPr>
              <w:pStyle w:val="14"/>
            </w:pPr>
            <w:r>
              <w:t>6万元</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中文域名正常使用</w:t>
            </w:r>
          </w:p>
        </w:tc>
        <w:tc>
          <w:tcPr>
            <w:tcW w:w="2466" w:type="dxa"/>
            <w:vAlign w:val="center"/>
          </w:tcPr>
          <w:p>
            <w:pPr>
              <w:pStyle w:val="14"/>
            </w:pPr>
            <w:r>
              <w:t>中文域名正常使用</w:t>
            </w:r>
          </w:p>
        </w:tc>
        <w:tc>
          <w:tcPr>
            <w:tcW w:w="2466" w:type="dxa"/>
            <w:vAlign w:val="center"/>
          </w:tcPr>
          <w:p>
            <w:pPr>
              <w:pStyle w:val="14"/>
            </w:pPr>
            <w:r>
              <w:t>≥95%</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域名使用单位满意度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2023年，中国共产党新乐市委员会机构编制委员会办公室安排政府采购预算0.00万元。具体内容见下表。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中国共产党新乐市委员会机构编制委员会办公室（含所属单位）上年末固定资产金额为6.02万元（详见下表）。本年度拟购置固定资产总额为0.00万元，已按要求列入政府采购预算，详见政府采购预算表。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w:t>
            </w:r>
          </w:p>
        </w:tc>
        <w:tc>
          <w:tcPr>
            <w:tcW w:w="4933" w:type="dxa"/>
            <w:vAlign w:val="center"/>
          </w:tcPr>
          <w:p>
            <w:pPr>
              <w:pStyle w:val="13"/>
            </w:pPr>
            <w:r>
              <w:t>6.02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Y3M2QzNDYyMDY0MTExNjlhMjhjZjdkMDMzZTczNTQifQ=="/>
  </w:docVars>
  <w:rsids>
    <w:rsidRoot w:val="00000000"/>
    <w:rsid w:val="235E2FC8"/>
    <w:rsid w:val="27465E1E"/>
    <w:rsid w:val="4FAA48D0"/>
    <w:rsid w:val="7BE006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2023-03-23T09:49:19Z</dcterms:created>
  <dcterms:modified xsi:type="dcterms:W3CDTF">2023-03-23T01:49:19Z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2023-03-23T09:49:15Z</dcterms:created>
  <dcterms:modified xsi:type="dcterms:W3CDTF">2023-03-23T01:49:15Z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b5f40cd-5b30-49e4-8f69-417e36091d18}">
  <ds:schemaRefs/>
</ds:datastoreItem>
</file>

<file path=customXml/itemProps11.xml><?xml version="1.0" encoding="utf-8"?>
<ds:datastoreItem xmlns:ds="http://schemas.openxmlformats.org/officeDocument/2006/customXml" ds:itemID="{5996874f-f5df-400d-bd99-43772ccea2ff}">
  <ds:schemaRefs/>
</ds:datastoreItem>
</file>

<file path=customXml/itemProps12.xml><?xml version="1.0" encoding="utf-8"?>
<ds:datastoreItem xmlns:ds="http://schemas.openxmlformats.org/officeDocument/2006/customXml" ds:itemID="{dddd6ee5-b085-4a4c-9703-de04d01bdadb}">
  <ds:schemaRefs/>
</ds:datastoreItem>
</file>

<file path=customXml/itemProps13.xml><?xml version="1.0" encoding="utf-8"?>
<ds:datastoreItem xmlns:ds="http://schemas.openxmlformats.org/officeDocument/2006/customXml" ds:itemID="{1a984d03-41c1-4a0f-a3e0-397c4e27791a}">
  <ds:schemaRefs/>
</ds:datastoreItem>
</file>

<file path=customXml/itemProps14.xml><?xml version="1.0" encoding="utf-8"?>
<ds:datastoreItem xmlns:ds="http://schemas.openxmlformats.org/officeDocument/2006/customXml" ds:itemID="{021ef8c7-25c1-40c7-bbae-3a6a64f4bf15}">
  <ds:schemaRefs/>
</ds:datastoreItem>
</file>

<file path=customXml/itemProps15.xml><?xml version="1.0" encoding="utf-8"?>
<ds:datastoreItem xmlns:ds="http://schemas.openxmlformats.org/officeDocument/2006/customXml" ds:itemID="{b6274c53-3a2b-43cd-a195-8df3e4d3e524}">
  <ds:schemaRefs/>
</ds:datastoreItem>
</file>

<file path=customXml/itemProps16.xml><?xml version="1.0" encoding="utf-8"?>
<ds:datastoreItem xmlns:ds="http://schemas.openxmlformats.org/officeDocument/2006/customXml" ds:itemID="{3d8125ea-9312-4f59-83d0-15d26db982f9}">
  <ds:schemaRefs/>
</ds:datastoreItem>
</file>

<file path=customXml/itemProps17.xml><?xml version="1.0" encoding="utf-8"?>
<ds:datastoreItem xmlns:ds="http://schemas.openxmlformats.org/officeDocument/2006/customXml" ds:itemID="{d48e35fa-6df0-4083-b493-1cde9ed8980e}">
  <ds:schemaRefs/>
</ds:datastoreItem>
</file>

<file path=customXml/itemProps18.xml><?xml version="1.0" encoding="utf-8"?>
<ds:datastoreItem xmlns:ds="http://schemas.openxmlformats.org/officeDocument/2006/customXml" ds:itemID="{4d06d3f9-40f6-4f42-a8bb-b30f006f3b48}">
  <ds:schemaRefs/>
</ds:datastoreItem>
</file>

<file path=customXml/itemProps19.xml><?xml version="1.0" encoding="utf-8"?>
<ds:datastoreItem xmlns:ds="http://schemas.openxmlformats.org/officeDocument/2006/customXml" ds:itemID="{530b9e16-4735-4e48-ba96-a3f2f9cf904c}">
  <ds:schemaRefs/>
</ds:datastoreItem>
</file>

<file path=customXml/itemProps2.xml><?xml version="1.0" encoding="utf-8"?>
<ds:datastoreItem xmlns:ds="http://schemas.openxmlformats.org/officeDocument/2006/customXml" ds:itemID="{1fa37c5d-877f-4b43-93a1-3a04d56304f2}">
  <ds:schemaRefs/>
</ds:datastoreItem>
</file>

<file path=customXml/itemProps3.xml><?xml version="1.0" encoding="utf-8"?>
<ds:datastoreItem xmlns:ds="http://schemas.openxmlformats.org/officeDocument/2006/customXml" ds:itemID="{6c41fceb-7e65-4d64-a513-22ca4c4b24e9}">
  <ds:schemaRefs/>
</ds:datastoreItem>
</file>

<file path=customXml/itemProps4.xml><?xml version="1.0" encoding="utf-8"?>
<ds:datastoreItem xmlns:ds="http://schemas.openxmlformats.org/officeDocument/2006/customXml" ds:itemID="{60209c57-4ed8-4de3-99ef-ba009d364987}">
  <ds:schemaRefs/>
</ds:datastoreItem>
</file>

<file path=customXml/itemProps5.xml><?xml version="1.0" encoding="utf-8"?>
<ds:datastoreItem xmlns:ds="http://schemas.openxmlformats.org/officeDocument/2006/customXml" ds:itemID="{2e5c0c7b-edba-423a-b875-b8529d9b7d1c}">
  <ds:schemaRefs/>
</ds:datastoreItem>
</file>

<file path=customXml/itemProps6.xml><?xml version="1.0" encoding="utf-8"?>
<ds:datastoreItem xmlns:ds="http://schemas.openxmlformats.org/officeDocument/2006/customXml" ds:itemID="{d3ae634d-6c98-48bb-8a14-7a2ca3008406}">
  <ds:schemaRefs/>
</ds:datastoreItem>
</file>

<file path=customXml/itemProps7.xml><?xml version="1.0" encoding="utf-8"?>
<ds:datastoreItem xmlns:ds="http://schemas.openxmlformats.org/officeDocument/2006/customXml" ds:itemID="{0facd458-9cdb-46b0-b25b-3fd69c88b819}">
  <ds:schemaRefs/>
</ds:datastoreItem>
</file>

<file path=customXml/itemProps8.xml><?xml version="1.0" encoding="utf-8"?>
<ds:datastoreItem xmlns:ds="http://schemas.openxmlformats.org/officeDocument/2006/customXml" ds:itemID="{3d51fd98-8108-4ca7-8579-c407817d782c}">
  <ds:schemaRefs/>
</ds:datastoreItem>
</file>

<file path=customXml/itemProps9.xml><?xml version="1.0" encoding="utf-8"?>
<ds:datastoreItem xmlns:ds="http://schemas.openxmlformats.org/officeDocument/2006/customXml" ds:itemID="{9022b86e-a922-4be8-82b7-f9f67c047d55}">
  <ds:schemaRefs/>
</ds:datastoreItem>
</file>

<file path=docProps/app.xml><?xml version="1.0" encoding="utf-8"?>
<Properties xmlns="http://schemas.openxmlformats.org/officeDocument/2006/extended-properties" xmlns:vt="http://schemas.openxmlformats.org/officeDocument/2006/docPropsVTypes">
  <Pages>77</Pages>
  <Words>15284</Words>
  <Characters>17844</Characters>
  <TotalTime>6</TotalTime>
  <ScaleCrop>false</ScaleCrop>
  <LinksUpToDate>false</LinksUpToDate>
  <CharactersWithSpaces>18119</CharactersWithSpaces>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2023-03-23T09:49:00Z</dcterms:created>
  <dc:creator>Administrator</dc:creator>
  <cp:lastModifiedBy>LENOVO</cp:lastModifiedBy>
  <dcterms:modified xsi:type="dcterms:W3CDTF">2023-08-02T01:22:09Z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0E4CAB9B7D1E432DB795661931E8CB07_12</vt:lpwstr>
  </property>
</Properties>
</file>