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val="zh-CN"/>
        </w:rPr>
        <w:id w:val="1552340799"/>
        <w:docPartObj>
          <w:docPartGallery w:val="Table of Contents"/>
          <w:docPartUnique/>
        </w:docPartObj>
      </w:sdtPr>
      <w:sdtEndPr>
        <w:rPr>
          <w:b/>
          <w:bCs/>
          <w:lang w:val="zh-CN"/>
        </w:rPr>
      </w:sdtEndPr>
      <w:sdtContent>
        <w:p>
          <w:pPr>
            <w:jc w:val="center"/>
            <w:rPr>
              <w:rFonts w:ascii="黑体" w:hAnsi="黑体" w:eastAsia="黑体"/>
              <w:b/>
              <w:bCs/>
              <w:sz w:val="44"/>
              <w:szCs w:val="44"/>
            </w:rPr>
          </w:pPr>
          <w:r>
            <w:rPr>
              <w:rFonts w:hint="eastAsia" w:ascii="黑体" w:hAnsi="黑体" w:eastAsia="黑体" w:cs="宋体-方正超大字符集"/>
              <w:b/>
              <w:bCs/>
              <w:sz w:val="44"/>
              <w:szCs w:val="44"/>
            </w:rPr>
            <w:t>202</w:t>
          </w:r>
          <w:r>
            <w:rPr>
              <w:rFonts w:hint="eastAsia" w:ascii="黑体" w:hAnsi="黑体" w:eastAsia="黑体" w:cs="宋体-方正超大字符集"/>
              <w:b/>
              <w:bCs/>
              <w:sz w:val="44"/>
              <w:szCs w:val="44"/>
              <w:lang w:val="en-US" w:eastAsia="zh-CN"/>
            </w:rPr>
            <w:t>2</w:t>
          </w:r>
          <w:r>
            <w:rPr>
              <w:rFonts w:hint="eastAsia" w:ascii="黑体" w:hAnsi="黑体" w:eastAsia="黑体" w:cs="宋体-方正超大字符集"/>
              <w:b/>
              <w:bCs/>
              <w:sz w:val="44"/>
              <w:szCs w:val="44"/>
            </w:rPr>
            <w:t>年部门预算信息公开目录</w:t>
          </w:r>
        </w:p>
        <w:p>
          <w:pPr>
            <w:ind w:firstLine="600" w:firstLineChars="200"/>
            <w:rPr>
              <w:rFonts w:ascii="黑体" w:hAnsi="黑体" w:eastAsia="黑体" w:cs="仿宋_GB2312"/>
              <w:sz w:val="30"/>
              <w:szCs w:val="30"/>
            </w:rPr>
          </w:pPr>
        </w:p>
        <w:p>
          <w:pPr>
            <w:jc w:val="center"/>
            <w:rPr>
              <w:rFonts w:ascii="黑体" w:hAnsi="黑体" w:eastAsia="黑体" w:cs="仿宋_GB2312"/>
              <w:sz w:val="30"/>
              <w:szCs w:val="30"/>
            </w:rPr>
          </w:pPr>
          <w:r>
            <w:rPr>
              <w:rFonts w:hint="eastAsia" w:ascii="黑体" w:hAnsi="黑体" w:eastAsia="黑体" w:cs="仿宋_GB2312"/>
              <w:sz w:val="30"/>
              <w:szCs w:val="30"/>
            </w:rPr>
            <w:t>第一部分  部门预算</w:t>
          </w:r>
        </w:p>
        <w:p>
          <w:pPr>
            <w:pStyle w:val="8"/>
            <w:rPr>
              <w:rFonts w:hint="eastAsia" w:hAnsiTheme="minorHAnsi" w:cstheme="minorBidi"/>
            </w:rPr>
          </w:pPr>
          <w:r>
            <w:fldChar w:fldCharType="begin"/>
          </w:r>
          <w:r>
            <w:instrText xml:space="preserve"> TOC \o "1-3" \h \z \u </w:instrText>
          </w:r>
          <w:r>
            <w:fldChar w:fldCharType="separate"/>
          </w:r>
          <w:r>
            <w:fldChar w:fldCharType="begin"/>
          </w:r>
          <w:r>
            <w:instrText xml:space="preserve"> HYPERLINK \l "_Toc62828906" </w:instrText>
          </w:r>
          <w:r>
            <w:fldChar w:fldCharType="separate"/>
          </w:r>
          <w:r>
            <w:rPr>
              <w:rStyle w:val="14"/>
              <w:rFonts w:hint="eastAsia"/>
            </w:rPr>
            <w:t>部门预算公开表</w:t>
          </w:r>
          <w:r>
            <w:rPr>
              <w:rStyle w:val="14"/>
              <w:rFonts w:hint="eastAsia"/>
            </w:rPr>
            <w:fldChar w:fldCharType="end"/>
          </w:r>
        </w:p>
        <w:p>
          <w:pPr>
            <w:pStyle w:val="9"/>
            <w:rPr>
              <w:rFonts w:asciiTheme="minorHAnsi" w:hAnsiTheme="minorHAnsi" w:eastAsiaTheme="minorEastAsia" w:cstheme="minorBidi"/>
              <w:sz w:val="21"/>
              <w:szCs w:val="22"/>
            </w:rPr>
          </w:pPr>
          <w:r>
            <w:fldChar w:fldCharType="begin"/>
          </w:r>
          <w:r>
            <w:instrText xml:space="preserve"> HYPERLINK \l "_Toc62828907" </w:instrText>
          </w:r>
          <w:r>
            <w:fldChar w:fldCharType="separate"/>
          </w:r>
          <w:r>
            <w:rPr>
              <w:rStyle w:val="14"/>
              <w:rFonts w:hint="eastAsia"/>
            </w:rPr>
            <w:t>部门预算收支总表</w:t>
          </w:r>
          <w:r>
            <w:tab/>
          </w:r>
          <w:r>
            <w:fldChar w:fldCharType="begin"/>
          </w:r>
          <w:r>
            <w:instrText xml:space="preserve"> PAGEREF _Toc62828907 \h </w:instrText>
          </w:r>
          <w:r>
            <w:fldChar w:fldCharType="separate"/>
          </w:r>
          <w:r>
            <w:t>3</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"_Toc62828908" </w:instrText>
          </w:r>
          <w:r>
            <w:fldChar w:fldCharType="separate"/>
          </w:r>
          <w:r>
            <w:rPr>
              <w:rStyle w:val="14"/>
              <w:rFonts w:hint="eastAsia"/>
            </w:rPr>
            <w:t>部门预算收入总表</w:t>
          </w:r>
          <w:r>
            <w:tab/>
          </w:r>
          <w:r>
            <w:fldChar w:fldCharType="begin"/>
          </w:r>
          <w:r>
            <w:instrText xml:space="preserve"> PAGEREF _Toc62828908 \h </w:instrText>
          </w:r>
          <w:r>
            <w:fldChar w:fldCharType="separate"/>
          </w:r>
          <w:r>
            <w:t>6</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"_Toc62828909" </w:instrText>
          </w:r>
          <w:r>
            <w:fldChar w:fldCharType="separate"/>
          </w:r>
          <w:r>
            <w:rPr>
              <w:rStyle w:val="14"/>
              <w:rFonts w:hint="eastAsia"/>
            </w:rPr>
            <w:t>部门预算支出总表</w:t>
          </w:r>
          <w:r>
            <w:tab/>
          </w:r>
          <w:r>
            <w:fldChar w:fldCharType="begin"/>
          </w:r>
          <w:r>
            <w:instrText xml:space="preserve"> PAGEREF _Toc62828909 \h </w:instrText>
          </w:r>
          <w:r>
            <w:fldChar w:fldCharType="separate"/>
          </w:r>
          <w:r>
            <w:t>10</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"_Toc62828910" </w:instrText>
          </w:r>
          <w:r>
            <w:fldChar w:fldCharType="separate"/>
          </w:r>
          <w:r>
            <w:rPr>
              <w:rStyle w:val="14"/>
              <w:rFonts w:hint="eastAsia"/>
            </w:rPr>
            <w:t>部门预算财政拨款收支总表</w:t>
          </w:r>
          <w:r>
            <w:tab/>
          </w:r>
          <w:r>
            <w:fldChar w:fldCharType="begin"/>
          </w:r>
          <w:r>
            <w:instrText xml:space="preserve"> PAGEREF _Toc62828910 \h </w:instrText>
          </w:r>
          <w:r>
            <w:fldChar w:fldCharType="separate"/>
          </w:r>
          <w:r>
            <w:t>13</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"_Toc62828911" </w:instrText>
          </w:r>
          <w:r>
            <w:fldChar w:fldCharType="separate"/>
          </w:r>
          <w:r>
            <w:rPr>
              <w:rStyle w:val="14"/>
              <w:rFonts w:hint="eastAsia"/>
            </w:rPr>
            <w:t>部门预算一般公共预算财政拨款支出表</w:t>
          </w:r>
          <w:r>
            <w:tab/>
          </w:r>
          <w:r>
            <w:fldChar w:fldCharType="begin"/>
          </w:r>
          <w:r>
            <w:instrText xml:space="preserve"> PAGEREF _Toc62828911 \h </w:instrText>
          </w:r>
          <w:r>
            <w:fldChar w:fldCharType="separate"/>
          </w:r>
          <w:r>
            <w:t>16</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"_Toc62828912" </w:instrText>
          </w:r>
          <w:r>
            <w:fldChar w:fldCharType="separate"/>
          </w:r>
          <w:r>
            <w:rPr>
              <w:rStyle w:val="14"/>
              <w:rFonts w:hint="eastAsia"/>
            </w:rPr>
            <w:t>部门预算一般公共预算财政拨款基本支出表</w:t>
          </w:r>
          <w:r>
            <w:tab/>
          </w:r>
          <w:r>
            <w:fldChar w:fldCharType="begin"/>
          </w:r>
          <w:r>
            <w:instrText xml:space="preserve"> PAGEREF _Toc62828912 \h </w:instrText>
          </w:r>
          <w:r>
            <w:fldChar w:fldCharType="separate"/>
          </w:r>
          <w:r>
            <w:t>19</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"_Toc62828913" </w:instrText>
          </w:r>
          <w:r>
            <w:fldChar w:fldCharType="separate"/>
          </w:r>
          <w:r>
            <w:rPr>
              <w:rStyle w:val="14"/>
              <w:rFonts w:hint="eastAsia"/>
            </w:rPr>
            <w:t>部门预算政府基金预算财政拨款支出表</w:t>
          </w:r>
          <w:r>
            <w:tab/>
          </w:r>
          <w:r>
            <w:fldChar w:fldCharType="begin"/>
          </w:r>
          <w:r>
            <w:instrText xml:space="preserve"> PAGEREF _Toc62828913 \h </w:instrText>
          </w:r>
          <w:r>
            <w:fldChar w:fldCharType="separate"/>
          </w:r>
          <w:r>
            <w:t>22</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"_Toc62828914" </w:instrText>
          </w:r>
          <w:r>
            <w:fldChar w:fldCharType="separate"/>
          </w:r>
          <w:r>
            <w:rPr>
              <w:rStyle w:val="14"/>
              <w:rFonts w:hint="eastAsia"/>
            </w:rPr>
            <w:t>部门预算国有资本经营预算财政拨款支出表</w:t>
          </w:r>
          <w:r>
            <w:tab/>
          </w:r>
          <w:r>
            <w:fldChar w:fldCharType="begin"/>
          </w:r>
          <w:r>
            <w:instrText xml:space="preserve"> PAGEREF _Toc62828914 \h </w:instrText>
          </w:r>
          <w:r>
            <w:fldChar w:fldCharType="separate"/>
          </w:r>
          <w:r>
            <w:t>23</w:t>
          </w:r>
          <w:r>
            <w:fldChar w:fldCharType="end"/>
          </w:r>
          <w:r>
            <w:fldChar w:fldCharType="end"/>
          </w:r>
        </w:p>
        <w:p>
          <w:pPr>
            <w:pStyle w:val="9"/>
            <w:rPr>
              <w:rFonts w:asciiTheme="minorHAnsi" w:hAnsiTheme="minorHAnsi" w:eastAsiaTheme="minorEastAsia" w:cstheme="minorBidi"/>
              <w:sz w:val="21"/>
              <w:szCs w:val="22"/>
            </w:rPr>
          </w:pPr>
          <w:r>
            <w:fldChar w:fldCharType="begin"/>
          </w:r>
          <w:r>
            <w:instrText xml:space="preserve"> HYPERLINK \l "_Toc62828915" </w:instrText>
          </w:r>
          <w:r>
            <w:fldChar w:fldCharType="separate"/>
          </w:r>
          <w:r>
            <w:rPr>
              <w:rStyle w:val="14"/>
              <w:rFonts w:hint="eastAsia"/>
            </w:rPr>
            <w:t>部门预算财政拨款“三公”经费支出表</w:t>
          </w:r>
          <w:r>
            <w:tab/>
          </w:r>
          <w:r>
            <w:fldChar w:fldCharType="begin"/>
          </w:r>
          <w:r>
            <w:instrText xml:space="preserve"> PAGEREF _Toc62828915 \h </w:instrText>
          </w:r>
          <w:r>
            <w:fldChar w:fldCharType="separate"/>
          </w:r>
          <w:r>
            <w:t>24</w:t>
          </w:r>
          <w:r>
            <w:fldChar w:fldCharType="end"/>
          </w:r>
          <w:r>
            <w:fldChar w:fldCharType="end"/>
          </w:r>
        </w:p>
        <w:p>
          <w:pPr>
            <w:pStyle w:val="8"/>
            <w:rPr>
              <w:rFonts w:asciiTheme="minorHAnsi" w:hAnsiTheme="minorHAnsi" w:eastAsiaTheme="minorEastAsia" w:cstheme="minorBidi"/>
              <w:szCs w:val="22"/>
            </w:rPr>
          </w:pPr>
          <w:r>
            <w:fldChar w:fldCharType="begin"/>
          </w:r>
          <w:r>
            <w:instrText xml:space="preserve"> HYPERLINK \l "_Toc62828916" </w:instrText>
          </w:r>
          <w:r>
            <w:fldChar w:fldCharType="separate"/>
          </w:r>
          <w:r>
            <w:rPr>
              <w:rStyle w:val="14"/>
              <w:rFonts w:hint="eastAsia"/>
            </w:rPr>
            <w:t>部门预算信息公开情况说明</w:t>
          </w:r>
          <w:r>
            <w:rPr>
              <w:rStyle w:val="14"/>
              <w:rFonts w:hint="eastAsia"/>
            </w:rPr>
            <w:fldChar w:fldCharType="end"/>
          </w:r>
        </w:p>
        <w:p>
          <w:pPr>
            <w:pStyle w:val="9"/>
            <w:rPr>
              <w:rStyle w:val="14"/>
            </w:rPr>
          </w:pPr>
          <w:r>
            <w:fldChar w:fldCharType="begin"/>
          </w:r>
          <w:r>
            <w:instrText xml:space="preserve"> HYPERLINK \l "_Toc62828917" </w:instrText>
          </w:r>
          <w:r>
            <w:fldChar w:fldCharType="separate"/>
          </w:r>
          <w:r>
            <w:rPr>
              <w:rStyle w:val="14"/>
              <w:rFonts w:hint="eastAsia"/>
            </w:rPr>
            <w:t>一、部门职责及机构设置情况</w:t>
          </w:r>
          <w:r>
            <w:rPr>
              <w:rStyle w:val="14"/>
            </w:rPr>
            <w:tab/>
          </w:r>
          <w:r>
            <w:rPr>
              <w:rStyle w:val="14"/>
            </w:rPr>
            <w:fldChar w:fldCharType="begin"/>
          </w:r>
          <w:r>
            <w:rPr>
              <w:rStyle w:val="14"/>
            </w:rPr>
            <w:instrText xml:space="preserve"> PAGEREF _Toc62828917 \h </w:instrText>
          </w:r>
          <w:r>
            <w:rPr>
              <w:rStyle w:val="14"/>
            </w:rPr>
            <w:fldChar w:fldCharType="separate"/>
          </w:r>
          <w:r>
            <w:rPr>
              <w:rStyle w:val="14"/>
            </w:rPr>
            <w:t>26</w:t>
          </w:r>
          <w:r>
            <w:rPr>
              <w:rStyle w:val="14"/>
            </w:rPr>
            <w:fldChar w:fldCharType="end"/>
          </w:r>
          <w:r>
            <w:rPr>
              <w:rStyle w:val="14"/>
            </w:rPr>
            <w:fldChar w:fldCharType="end"/>
          </w:r>
        </w:p>
        <w:p>
          <w:pPr>
            <w:pStyle w:val="9"/>
            <w:rPr>
              <w:rStyle w:val="14"/>
            </w:rPr>
          </w:pPr>
          <w:r>
            <w:fldChar w:fldCharType="begin"/>
          </w:r>
          <w:r>
            <w:instrText xml:space="preserve"> HYPERLINK \l "_Toc62828918" </w:instrText>
          </w:r>
          <w:r>
            <w:fldChar w:fldCharType="separate"/>
          </w:r>
          <w:r>
            <w:rPr>
              <w:rStyle w:val="14"/>
              <w:rFonts w:hint="eastAsia"/>
            </w:rPr>
            <w:t>二、部门预算安排的总体情况</w:t>
          </w:r>
          <w:r>
            <w:rPr>
              <w:rStyle w:val="14"/>
            </w:rPr>
            <w:tab/>
          </w:r>
          <w:r>
            <w:rPr>
              <w:rStyle w:val="14"/>
            </w:rPr>
            <w:fldChar w:fldCharType="begin"/>
          </w:r>
          <w:r>
            <w:rPr>
              <w:rStyle w:val="14"/>
            </w:rPr>
            <w:instrText xml:space="preserve"> PAGEREF _Toc62828918 \h </w:instrText>
          </w:r>
          <w:r>
            <w:rPr>
              <w:rStyle w:val="14"/>
            </w:rPr>
            <w:fldChar w:fldCharType="separate"/>
          </w:r>
          <w:r>
            <w:rPr>
              <w:rStyle w:val="14"/>
            </w:rPr>
            <w:t>29</w:t>
          </w:r>
          <w:r>
            <w:rPr>
              <w:rStyle w:val="14"/>
            </w:rPr>
            <w:fldChar w:fldCharType="end"/>
          </w:r>
          <w:r>
            <w:rPr>
              <w:rStyle w:val="14"/>
            </w:rPr>
            <w:fldChar w:fldCharType="end"/>
          </w:r>
        </w:p>
        <w:p>
          <w:pPr>
            <w:pStyle w:val="9"/>
            <w:rPr>
              <w:rStyle w:val="14"/>
            </w:rPr>
          </w:pPr>
          <w:r>
            <w:fldChar w:fldCharType="begin"/>
          </w:r>
          <w:r>
            <w:instrText xml:space="preserve"> HYPERLINK \l "_Toc62828919" </w:instrText>
          </w:r>
          <w:r>
            <w:fldChar w:fldCharType="separate"/>
          </w:r>
          <w:r>
            <w:rPr>
              <w:rStyle w:val="14"/>
              <w:rFonts w:hint="eastAsia"/>
            </w:rPr>
            <w:t>三、机关运行经费安排情况</w:t>
          </w:r>
          <w:r>
            <w:rPr>
              <w:rStyle w:val="14"/>
            </w:rPr>
            <w:tab/>
          </w:r>
          <w:r>
            <w:rPr>
              <w:rStyle w:val="14"/>
            </w:rPr>
            <w:fldChar w:fldCharType="begin"/>
          </w:r>
          <w:r>
            <w:rPr>
              <w:rStyle w:val="14"/>
            </w:rPr>
            <w:instrText xml:space="preserve"> PAGEREF _Toc62828919 \h </w:instrText>
          </w:r>
          <w:r>
            <w:rPr>
              <w:rStyle w:val="14"/>
            </w:rPr>
            <w:fldChar w:fldCharType="separate"/>
          </w:r>
          <w:r>
            <w:rPr>
              <w:rStyle w:val="14"/>
            </w:rPr>
            <w:t>30</w:t>
          </w:r>
          <w:r>
            <w:rPr>
              <w:rStyle w:val="14"/>
            </w:rPr>
            <w:fldChar w:fldCharType="end"/>
          </w:r>
          <w:r>
            <w:rPr>
              <w:rStyle w:val="14"/>
            </w:rPr>
            <w:fldChar w:fldCharType="end"/>
          </w:r>
        </w:p>
        <w:p>
          <w:pPr>
            <w:pStyle w:val="9"/>
            <w:rPr>
              <w:rStyle w:val="14"/>
            </w:rPr>
          </w:pPr>
          <w:r>
            <w:fldChar w:fldCharType="begin"/>
          </w:r>
          <w:r>
            <w:instrText xml:space="preserve"> HYPERLINK \l "_Toc62828920" </w:instrText>
          </w:r>
          <w:r>
            <w:fldChar w:fldCharType="separate"/>
          </w:r>
          <w:r>
            <w:rPr>
              <w:rStyle w:val="14"/>
              <w:rFonts w:hint="eastAsia"/>
            </w:rPr>
            <w:t>四、财政拨款</w:t>
          </w:r>
          <w:r>
            <w:rPr>
              <w:rStyle w:val="14"/>
            </w:rPr>
            <w:t>“</w:t>
          </w:r>
          <w:r>
            <w:rPr>
              <w:rStyle w:val="14"/>
              <w:rFonts w:hint="eastAsia"/>
            </w:rPr>
            <w:t>三公</w:t>
          </w:r>
          <w:r>
            <w:rPr>
              <w:rStyle w:val="14"/>
            </w:rPr>
            <w:t>”</w:t>
          </w:r>
          <w:r>
            <w:rPr>
              <w:rStyle w:val="14"/>
              <w:rFonts w:hint="eastAsia"/>
            </w:rPr>
            <w:t>经费预算情况及增减变化原因</w:t>
          </w:r>
          <w:r>
            <w:rPr>
              <w:rStyle w:val="14"/>
            </w:rPr>
            <w:tab/>
          </w:r>
          <w:r>
            <w:rPr>
              <w:rStyle w:val="14"/>
            </w:rPr>
            <w:fldChar w:fldCharType="begin"/>
          </w:r>
          <w:r>
            <w:rPr>
              <w:rStyle w:val="14"/>
            </w:rPr>
            <w:instrText xml:space="preserve"> PAGEREF _Toc62828920 \h </w:instrText>
          </w:r>
          <w:r>
            <w:rPr>
              <w:rStyle w:val="14"/>
            </w:rPr>
            <w:fldChar w:fldCharType="separate"/>
          </w:r>
          <w:r>
            <w:rPr>
              <w:rStyle w:val="14"/>
            </w:rPr>
            <w:t>30</w:t>
          </w:r>
          <w:r>
            <w:rPr>
              <w:rStyle w:val="14"/>
            </w:rPr>
            <w:fldChar w:fldCharType="end"/>
          </w:r>
          <w:r>
            <w:rPr>
              <w:rStyle w:val="14"/>
            </w:rPr>
            <w:fldChar w:fldCharType="end"/>
          </w:r>
        </w:p>
        <w:p>
          <w:pPr>
            <w:pStyle w:val="9"/>
            <w:rPr>
              <w:rStyle w:val="14"/>
            </w:rPr>
          </w:pPr>
          <w:r>
            <w:fldChar w:fldCharType="begin"/>
          </w:r>
          <w:r>
            <w:instrText xml:space="preserve"> HYPERLINK \l "_Toc62828921" </w:instrText>
          </w:r>
          <w:r>
            <w:fldChar w:fldCharType="separate"/>
          </w:r>
          <w:r>
            <w:rPr>
              <w:rStyle w:val="14"/>
              <w:rFonts w:hint="eastAsia"/>
            </w:rPr>
            <w:t>五、预算绩效信息</w:t>
          </w:r>
          <w:r>
            <w:rPr>
              <w:rStyle w:val="14"/>
            </w:rPr>
            <w:tab/>
          </w:r>
          <w:r>
            <w:rPr>
              <w:rStyle w:val="14"/>
            </w:rPr>
            <w:fldChar w:fldCharType="begin"/>
          </w:r>
          <w:r>
            <w:rPr>
              <w:rStyle w:val="14"/>
            </w:rPr>
            <w:instrText xml:space="preserve"> PAGEREF _Toc62828921 \h </w:instrText>
          </w:r>
          <w:r>
            <w:rPr>
              <w:rStyle w:val="14"/>
            </w:rPr>
            <w:fldChar w:fldCharType="separate"/>
          </w:r>
          <w:r>
            <w:rPr>
              <w:rStyle w:val="14"/>
            </w:rPr>
            <w:t>31</w:t>
          </w:r>
          <w:r>
            <w:rPr>
              <w:rStyle w:val="14"/>
            </w:rPr>
            <w:fldChar w:fldCharType="end"/>
          </w:r>
          <w:r>
            <w:rPr>
              <w:rStyle w:val="14"/>
            </w:rPr>
            <w:fldChar w:fldCharType="end"/>
          </w:r>
        </w:p>
        <w:p>
          <w:pPr>
            <w:pStyle w:val="9"/>
            <w:rPr>
              <w:rStyle w:val="14"/>
            </w:rPr>
          </w:pPr>
          <w:r>
            <w:fldChar w:fldCharType="begin"/>
          </w:r>
          <w:r>
            <w:instrText xml:space="preserve"> HYPERLINK \l "_Toc62828922" </w:instrText>
          </w:r>
          <w:r>
            <w:fldChar w:fldCharType="separate"/>
          </w:r>
          <w:r>
            <w:rPr>
              <w:rStyle w:val="14"/>
              <w:rFonts w:hint="eastAsia"/>
            </w:rPr>
            <w:t>六、政府采购预算情况</w:t>
          </w:r>
          <w:r>
            <w:rPr>
              <w:rStyle w:val="14"/>
            </w:rPr>
            <w:tab/>
          </w:r>
          <w:r>
            <w:rPr>
              <w:rStyle w:val="14"/>
            </w:rPr>
            <w:fldChar w:fldCharType="begin"/>
          </w:r>
          <w:r>
            <w:rPr>
              <w:rStyle w:val="14"/>
            </w:rPr>
            <w:instrText xml:space="preserve"> PAGEREF _Toc62828922 \h </w:instrText>
          </w:r>
          <w:r>
            <w:rPr>
              <w:rStyle w:val="14"/>
            </w:rPr>
            <w:fldChar w:fldCharType="separate"/>
          </w:r>
          <w:r>
            <w:rPr>
              <w:rStyle w:val="14"/>
            </w:rPr>
            <w:t>35</w:t>
          </w:r>
          <w:r>
            <w:rPr>
              <w:rStyle w:val="14"/>
            </w:rPr>
            <w:fldChar w:fldCharType="end"/>
          </w:r>
          <w:r>
            <w:rPr>
              <w:rStyle w:val="14"/>
            </w:rPr>
            <w:fldChar w:fldCharType="end"/>
          </w:r>
        </w:p>
        <w:p>
          <w:pPr>
            <w:pStyle w:val="9"/>
            <w:rPr>
              <w:rStyle w:val="14"/>
            </w:rPr>
          </w:pPr>
          <w:r>
            <w:fldChar w:fldCharType="begin"/>
          </w:r>
          <w:r>
            <w:instrText xml:space="preserve"> HYPERLINK \l "_Toc62828923" </w:instrText>
          </w:r>
          <w:r>
            <w:fldChar w:fldCharType="separate"/>
          </w:r>
          <w:r>
            <w:rPr>
              <w:rStyle w:val="14"/>
              <w:rFonts w:hint="eastAsia"/>
            </w:rPr>
            <w:t>七、国有资产信息</w:t>
          </w:r>
          <w:r>
            <w:rPr>
              <w:rStyle w:val="14"/>
            </w:rPr>
            <w:tab/>
          </w:r>
          <w:r>
            <w:rPr>
              <w:rStyle w:val="14"/>
            </w:rPr>
            <w:fldChar w:fldCharType="begin"/>
          </w:r>
          <w:r>
            <w:rPr>
              <w:rStyle w:val="14"/>
            </w:rPr>
            <w:instrText xml:space="preserve"> PAGEREF _Toc62828923 \h </w:instrText>
          </w:r>
          <w:r>
            <w:rPr>
              <w:rStyle w:val="14"/>
            </w:rPr>
            <w:fldChar w:fldCharType="separate"/>
          </w:r>
          <w:r>
            <w:rPr>
              <w:rStyle w:val="14"/>
            </w:rPr>
            <w:t>37</w:t>
          </w:r>
          <w:r>
            <w:rPr>
              <w:rStyle w:val="14"/>
            </w:rPr>
            <w:fldChar w:fldCharType="end"/>
          </w:r>
          <w:r>
            <w:rPr>
              <w:rStyle w:val="14"/>
            </w:rPr>
            <w:fldChar w:fldCharType="end"/>
          </w:r>
        </w:p>
        <w:p>
          <w:pPr>
            <w:pStyle w:val="9"/>
            <w:rPr>
              <w:rStyle w:val="14"/>
            </w:rPr>
          </w:pPr>
          <w:r>
            <w:fldChar w:fldCharType="begin"/>
          </w:r>
          <w:r>
            <w:instrText xml:space="preserve"> HYPERLINK \l "_Toc62828924" </w:instrText>
          </w:r>
          <w:r>
            <w:fldChar w:fldCharType="separate"/>
          </w:r>
          <w:r>
            <w:rPr>
              <w:rStyle w:val="14"/>
              <w:rFonts w:hint="eastAsia"/>
            </w:rPr>
            <w:t>八、名词解释</w:t>
          </w:r>
          <w:r>
            <w:rPr>
              <w:rStyle w:val="14"/>
            </w:rPr>
            <w:tab/>
          </w:r>
          <w:r>
            <w:rPr>
              <w:rStyle w:val="14"/>
            </w:rPr>
            <w:fldChar w:fldCharType="begin"/>
          </w:r>
          <w:r>
            <w:rPr>
              <w:rStyle w:val="14"/>
            </w:rPr>
            <w:instrText xml:space="preserve"> PAGEREF _Toc62828924 \h </w:instrText>
          </w:r>
          <w:r>
            <w:rPr>
              <w:rStyle w:val="14"/>
            </w:rPr>
            <w:fldChar w:fldCharType="separate"/>
          </w:r>
          <w:r>
            <w:rPr>
              <w:rStyle w:val="14"/>
            </w:rPr>
            <w:t>38</w:t>
          </w:r>
          <w:r>
            <w:rPr>
              <w:rStyle w:val="14"/>
            </w:rPr>
            <w:fldChar w:fldCharType="end"/>
          </w:r>
          <w:r>
            <w:rPr>
              <w:rStyle w:val="14"/>
            </w:rPr>
            <w:fldChar w:fldCharType="end"/>
          </w:r>
        </w:p>
        <w:p>
          <w:pPr>
            <w:pStyle w:val="9"/>
            <w:rPr>
              <w:rStyle w:val="14"/>
            </w:rPr>
          </w:pPr>
          <w:r>
            <w:fldChar w:fldCharType="begin"/>
          </w:r>
          <w:r>
            <w:instrText xml:space="preserve"> HYPERLINK \l "_Toc62828925" </w:instrText>
          </w:r>
          <w:r>
            <w:fldChar w:fldCharType="separate"/>
          </w:r>
          <w:r>
            <w:rPr>
              <w:rStyle w:val="14"/>
              <w:rFonts w:hint="eastAsia"/>
            </w:rPr>
            <w:t>九、其他需要说明的事项</w:t>
          </w:r>
          <w:r>
            <w:rPr>
              <w:rStyle w:val="14"/>
            </w:rPr>
            <w:tab/>
          </w:r>
          <w:r>
            <w:rPr>
              <w:rStyle w:val="14"/>
            </w:rPr>
            <w:fldChar w:fldCharType="begin"/>
          </w:r>
          <w:r>
            <w:rPr>
              <w:rStyle w:val="14"/>
            </w:rPr>
            <w:instrText xml:space="preserve"> PAGEREF _Toc62828925 \h </w:instrText>
          </w:r>
          <w:r>
            <w:rPr>
              <w:rStyle w:val="14"/>
            </w:rPr>
            <w:fldChar w:fldCharType="separate"/>
          </w:r>
          <w:r>
            <w:rPr>
              <w:rStyle w:val="14"/>
            </w:rPr>
            <w:t>39</w:t>
          </w:r>
          <w:r>
            <w:rPr>
              <w:rStyle w:val="14"/>
            </w:rPr>
            <w:fldChar w:fldCharType="end"/>
          </w:r>
          <w:r>
            <w:rPr>
              <w:rStyle w:val="14"/>
            </w:rPr>
            <w:fldChar w:fldCharType="end"/>
          </w:r>
        </w:p>
        <w:p>
          <w:pPr>
            <w:jc w:val="center"/>
            <w:rPr>
              <w:rFonts w:hint="eastAsia" w:ascii="黑体" w:hAnsi="黑体" w:eastAsia="黑体" w:cs="仿宋_GB2312"/>
              <w:sz w:val="30"/>
              <w:szCs w:val="30"/>
            </w:rPr>
          </w:pPr>
        </w:p>
        <w:p>
          <w:pPr>
            <w:jc w:val="center"/>
            <w:rPr>
              <w:rFonts w:hint="eastAsia" w:ascii="黑体" w:hAnsi="黑体" w:eastAsia="黑体" w:cs="仿宋_GB2312"/>
              <w:sz w:val="30"/>
              <w:szCs w:val="30"/>
            </w:rPr>
          </w:pPr>
        </w:p>
        <w:p>
          <w:pPr>
            <w:jc w:val="center"/>
            <w:rPr>
              <w:rFonts w:hint="eastAsia" w:ascii="黑体" w:hAnsi="黑体" w:eastAsia="黑体" w:cs="仿宋_GB2312"/>
              <w:sz w:val="30"/>
              <w:szCs w:val="30"/>
            </w:rPr>
          </w:pPr>
        </w:p>
        <w:p>
          <w:pPr>
            <w:jc w:val="center"/>
            <w:rPr>
              <w:rFonts w:ascii="黑体" w:hAnsi="黑体" w:eastAsia="黑体" w:cs="仿宋_GB2312"/>
              <w:sz w:val="30"/>
              <w:szCs w:val="30"/>
            </w:rPr>
          </w:pPr>
          <w:r>
            <w:rPr>
              <w:rFonts w:hint="eastAsia" w:ascii="黑体" w:hAnsi="黑体" w:eastAsia="黑体" w:cs="仿宋_GB2312"/>
              <w:sz w:val="30"/>
              <w:szCs w:val="30"/>
            </w:rPr>
            <w:t>第二部分  部门所属单位预算</w:t>
          </w:r>
        </w:p>
        <w:p>
          <w:pPr>
            <w:pStyle w:val="8"/>
            <w:rPr>
              <w:rStyle w:val="14"/>
              <w:rFonts w:hint="eastAsia"/>
            </w:rPr>
          </w:pPr>
        </w:p>
        <w:p>
          <w:pPr>
            <w:pStyle w:val="9"/>
            <w:rPr>
              <w:rStyle w:val="14"/>
            </w:rPr>
          </w:pPr>
          <w:r>
            <w:fldChar w:fldCharType="begin"/>
          </w:r>
          <w:r>
            <w:instrText xml:space="preserve"> HYPERLINK \l "_Toc62828926" </w:instrText>
          </w:r>
          <w:r>
            <w:fldChar w:fldCharType="separate"/>
          </w:r>
          <w:r>
            <w:rPr>
              <w:rStyle w:val="14"/>
              <w:rFonts w:hint="eastAsia"/>
            </w:rPr>
            <w:t>一、</w:t>
          </w:r>
          <w:r>
            <w:rPr>
              <w:rStyle w:val="14"/>
              <w:rFonts w:hint="eastAsia"/>
              <w:lang w:val="en-US" w:eastAsia="zh-CN"/>
            </w:rPr>
            <w:t>中共承德市鹰手营子矿区委机构编制委员会办公室</w:t>
          </w:r>
          <w:r>
            <w:rPr>
              <w:rStyle w:val="14"/>
              <w:rFonts w:hint="eastAsia"/>
            </w:rPr>
            <w:t>本级预算信息公开</w:t>
          </w:r>
          <w:r>
            <w:rPr>
              <w:rStyle w:val="14"/>
            </w:rPr>
            <w:tab/>
          </w:r>
          <w:r>
            <w:rPr>
              <w:rStyle w:val="14"/>
            </w:rPr>
            <w:fldChar w:fldCharType="begin"/>
          </w:r>
          <w:r>
            <w:rPr>
              <w:rStyle w:val="14"/>
            </w:rPr>
            <w:instrText xml:space="preserve"> PAGEREF _Toc62828926 \h </w:instrText>
          </w:r>
          <w:r>
            <w:rPr>
              <w:rStyle w:val="14"/>
            </w:rPr>
            <w:fldChar w:fldCharType="separate"/>
          </w:r>
          <w:r>
            <w:rPr>
              <w:rStyle w:val="14"/>
            </w:rPr>
            <w:t>40</w:t>
          </w:r>
          <w:r>
            <w:rPr>
              <w:rStyle w:val="14"/>
            </w:rPr>
            <w:fldChar w:fldCharType="end"/>
          </w:r>
          <w:r>
            <w:rPr>
              <w:rStyle w:val="14"/>
            </w:rPr>
            <w:fldChar w:fldCharType="end"/>
          </w:r>
        </w:p>
        <w:p>
          <w:r>
            <w:rPr>
              <w:b/>
              <w:bCs/>
              <w:lang w:val="zh-CN"/>
            </w:rPr>
            <w:fldChar w:fldCharType="end"/>
          </w:r>
        </w:p>
      </w:sdtContent>
    </w:sdt>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eastAsia="方正小标宋_GBK"/>
          <w:bCs/>
          <w:kern w:val="44"/>
          <w:sz w:val="44"/>
          <w:szCs w:val="44"/>
        </w:rPr>
      </w:pPr>
      <w:r>
        <w:rPr>
          <w:rFonts w:eastAsia="方正小标宋_GBK"/>
          <w:bCs/>
          <w:kern w:val="44"/>
          <w:sz w:val="44"/>
          <w:szCs w:val="44"/>
        </w:rPr>
        <w:br w:type="page"/>
      </w:r>
      <w:bookmarkStart w:id="22" w:name="_GoBack"/>
      <w:bookmarkEnd w:id="22"/>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eastAsia="方正小标宋_GBK"/>
          <w:bCs/>
          <w:kern w:val="44"/>
          <w:sz w:val="44"/>
          <w:szCs w:val="44"/>
        </w:rPr>
      </w:pPr>
    </w:p>
    <w:p>
      <w:pPr>
        <w:jc w:val="center"/>
        <w:rPr>
          <w:rFonts w:hint="eastAsia" w:ascii="方正小标宋_GBK" w:eastAsia="方正小标宋_GBK"/>
          <w:sz w:val="72"/>
          <w:szCs w:val="72"/>
        </w:rPr>
        <w:sectPr>
          <w:pgSz w:w="16838" w:h="11906" w:orient="landscape"/>
          <w:pgMar w:top="1800" w:right="1440" w:bottom="1800" w:left="1440" w:header="851" w:footer="992" w:gutter="0"/>
          <w:cols w:space="720" w:num="1"/>
          <w:docGrid w:type="lines" w:linePitch="312" w:charSpace="0"/>
        </w:sectPr>
      </w:pPr>
      <w:r>
        <w:rPr>
          <w:rFonts w:hint="eastAsia" w:ascii="方正小标宋_GBK" w:eastAsia="方正小标宋_GBK"/>
          <w:sz w:val="72"/>
          <w:szCs w:val="72"/>
        </w:rPr>
        <w:t>第一部分  部门预算</w:t>
      </w:r>
    </w:p>
    <w:p>
      <w:pPr>
        <w:pStyle w:val="3"/>
        <w:rPr>
          <w:highlight w:val="green"/>
        </w:rPr>
      </w:pPr>
      <w:bookmarkStart w:id="0" w:name="_Toc62828907"/>
      <w:r>
        <w:rPr>
          <w:rFonts w:hint="eastAsia"/>
        </w:rPr>
        <w:t>部门预算收支总表</w:t>
      </w:r>
      <w:bookmarkEnd w:id="0"/>
    </w:p>
    <w:tbl>
      <w:tblPr>
        <w:tblStyle w:val="11"/>
        <w:tblW w:w="1390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4602"/>
        <w:gridCol w:w="2268"/>
        <w:gridCol w:w="425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blHeader/>
        </w:trPr>
        <w:tc>
          <w:tcPr>
            <w:tcW w:w="13907" w:type="dxa"/>
            <w:gridSpan w:val="5"/>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预算年度：20</w:t>
            </w:r>
            <w:r>
              <w:rPr>
                <w:rFonts w:hint="eastAsia" w:ascii="方正小标宋_GBK" w:eastAsia="方正小标宋_GBK"/>
                <w:bCs/>
                <w:kern w:val="0"/>
                <w:sz w:val="24"/>
                <w:lang w:val="en-US" w:eastAsia="zh-CN"/>
              </w:rPr>
              <w:t>22</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6870"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收入</w:t>
            </w:r>
          </w:p>
        </w:tc>
        <w:tc>
          <w:tcPr>
            <w:tcW w:w="6237"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vMerge w:val="continue"/>
            <w:vAlign w:val="center"/>
          </w:tcPr>
          <w:p>
            <w:pPr>
              <w:widowControl/>
              <w:adjustRightInd w:val="0"/>
              <w:snapToGrid w:val="0"/>
              <w:jc w:val="center"/>
              <w:rPr>
                <w:rFonts w:ascii="方正书宋_GBK" w:eastAsia="方正书宋_GBK"/>
                <w:b/>
                <w:bCs/>
                <w:kern w:val="0"/>
                <w:szCs w:val="21"/>
              </w:rPr>
            </w:pPr>
          </w:p>
        </w:tc>
        <w:tc>
          <w:tcPr>
            <w:tcW w:w="460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    目</w:t>
            </w:r>
          </w:p>
        </w:tc>
        <w:tc>
          <w:tcPr>
            <w:tcW w:w="2268"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预算数</w:t>
            </w:r>
          </w:p>
        </w:tc>
        <w:tc>
          <w:tcPr>
            <w:tcW w:w="425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    目</w:t>
            </w:r>
          </w:p>
        </w:tc>
        <w:tc>
          <w:tcPr>
            <w:tcW w:w="198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460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2268"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425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198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一、财政拨款收入</w:t>
            </w:r>
          </w:p>
        </w:tc>
        <w:tc>
          <w:tcPr>
            <w:tcW w:w="2268"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60.20</w:t>
            </w: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一、一般公共服务支出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二、上级拨款收入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二、外交支出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三、事业收入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三、国防支出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4602" w:type="dxa"/>
            <w:shd w:val="clear" w:color="auto" w:fill="auto"/>
            <w:noWrap/>
            <w:vAlign w:val="center"/>
          </w:tcPr>
          <w:p>
            <w:pPr>
              <w:widowControl/>
              <w:adjustRightInd w:val="0"/>
              <w:snapToGrid w:val="0"/>
              <w:ind w:firstLine="420" w:firstLineChars="200"/>
              <w:jc w:val="left"/>
              <w:rPr>
                <w:rFonts w:ascii="方正书宋_GBK" w:eastAsia="方正书宋_GBK"/>
                <w:kern w:val="0"/>
                <w:szCs w:val="21"/>
              </w:rPr>
            </w:pPr>
            <w:r>
              <w:rPr>
                <w:rFonts w:hint="eastAsia" w:ascii="方正书宋_GBK" w:eastAsia="方正书宋_GBK"/>
                <w:kern w:val="0"/>
                <w:szCs w:val="21"/>
              </w:rPr>
              <w:t>其中：财政专户收入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四、公共安全支出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四、经营收入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五、教育支出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五、附属单位上缴收入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六、科学技术支出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六、其他收入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七、文化旅游体育与传媒支出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八、社会保障和就业支出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九、社会保险基金支出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十、卫生健康支出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十一、节能环保支出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十二、城乡社区支出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十三、农林水支出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十四、交通运输支出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十五、资源勘探工业信息等支出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十六、商业服务业等支出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十七、金融支出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十八、援助其他地区支出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19</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十九、自然资源海洋气象等支出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20</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二十、住房保障支出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21</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二十一、粮油物资储备支出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22</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二十二、国有资本经营预算支出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二十三、灾害防治及应急管理支出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二十四、其他支出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二十五、转移性支出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二十六、债务还本支出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二十七、债务付息支出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二十八、债务发行费用支出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23</w:t>
            </w:r>
          </w:p>
        </w:tc>
        <w:tc>
          <w:tcPr>
            <w:tcW w:w="4602"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本年收入合计</w:t>
            </w:r>
          </w:p>
        </w:tc>
        <w:tc>
          <w:tcPr>
            <w:tcW w:w="2268"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4252"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本年支出合计</w:t>
            </w:r>
          </w:p>
        </w:tc>
        <w:tc>
          <w:tcPr>
            <w:tcW w:w="1985"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24</w:t>
            </w:r>
          </w:p>
        </w:tc>
        <w:tc>
          <w:tcPr>
            <w:tcW w:w="4602" w:type="dxa"/>
            <w:shd w:val="clear" w:color="auto" w:fill="auto"/>
            <w:noWrap/>
            <w:vAlign w:val="center"/>
          </w:tcPr>
          <w:p>
            <w:pPr>
              <w:widowControl/>
              <w:adjustRightInd w:val="0"/>
              <w:snapToGrid w:val="0"/>
              <w:jc w:val="center"/>
              <w:rPr>
                <w:rFonts w:ascii="方正书宋_GBK" w:hAnsi="宋体" w:eastAsia="方正书宋_GBK" w:cs="宋体"/>
                <w:kern w:val="0"/>
                <w:szCs w:val="21"/>
              </w:rPr>
            </w:pPr>
            <w:r>
              <w:rPr>
                <w:rFonts w:hint="eastAsia" w:ascii="方正书宋_GBK" w:hAnsi="宋体" w:eastAsia="方正书宋_GBK" w:cs="宋体"/>
                <w:kern w:val="0"/>
                <w:szCs w:val="21"/>
              </w:rPr>
              <w:t>上年结转</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结转下年</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25</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center"/>
              <w:rPr>
                <w:rFonts w:ascii="方正书宋_GBK" w:eastAsia="方正书宋_GBK"/>
                <w:kern w:val="0"/>
                <w:szCs w:val="21"/>
              </w:rPr>
            </w:pP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26</w:t>
            </w:r>
          </w:p>
        </w:tc>
        <w:tc>
          <w:tcPr>
            <w:tcW w:w="4602" w:type="dxa"/>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2268"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4252" w:type="dxa"/>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1985"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r>
    </w:tbl>
    <w:p>
      <w:pPr>
        <w:autoSpaceDE w:val="0"/>
        <w:autoSpaceDN w:val="0"/>
        <w:adjustRightInd w:val="0"/>
        <w:ind w:firstLine="600" w:firstLineChars="200"/>
        <w:jc w:val="left"/>
        <w:rPr>
          <w:rFonts w:ascii="仿宋_GB2312" w:hAnsi="仿宋_GB2312" w:eastAsia="仿宋_GB2312" w:cs="仿宋_GB2312"/>
          <w:sz w:val="30"/>
          <w:szCs w:val="30"/>
          <w:highlight w:val="green"/>
        </w:rPr>
        <w:sectPr>
          <w:pgSz w:w="16838" w:h="11906" w:orient="landscape"/>
          <w:pgMar w:top="1800" w:right="1440" w:bottom="1800" w:left="1440" w:header="851" w:footer="992" w:gutter="0"/>
          <w:cols w:space="720" w:num="1"/>
          <w:docGrid w:type="lines" w:linePitch="312" w:charSpace="0"/>
        </w:sectPr>
      </w:pPr>
    </w:p>
    <w:p>
      <w:pPr>
        <w:pStyle w:val="3"/>
      </w:pPr>
      <w:bookmarkStart w:id="1" w:name="_Toc62828908"/>
      <w:r>
        <w:rPr>
          <w:rFonts w:hint="eastAsia"/>
        </w:rPr>
        <w:t>部门预算收入总表</w:t>
      </w:r>
      <w:bookmarkEnd w:id="1"/>
    </w:p>
    <w:tbl>
      <w:tblPr>
        <w:tblStyle w:val="11"/>
        <w:tblW w:w="140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92"/>
        <w:gridCol w:w="1560"/>
        <w:gridCol w:w="1134"/>
        <w:gridCol w:w="1134"/>
        <w:gridCol w:w="1134"/>
        <w:gridCol w:w="1134"/>
        <w:gridCol w:w="992"/>
        <w:gridCol w:w="1134"/>
        <w:gridCol w:w="992"/>
        <w:gridCol w:w="992"/>
        <w:gridCol w:w="10"/>
        <w:gridCol w:w="1124"/>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082" w:type="dxa"/>
            <w:gridSpan w:val="14"/>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预算年度：</w:t>
            </w:r>
            <w:r>
              <w:rPr>
                <w:rFonts w:ascii="方正小标宋_GBK" w:eastAsia="方正小标宋_GBK"/>
                <w:bCs/>
                <w:kern w:val="0"/>
                <w:sz w:val="24"/>
              </w:rPr>
              <w:t>20</w:t>
            </w:r>
            <w:r>
              <w:rPr>
                <w:rFonts w:hint="eastAsia" w:ascii="方正小标宋_GBK" w:eastAsia="方正小标宋_GBK"/>
                <w:bCs/>
                <w:kern w:val="0"/>
                <w:sz w:val="24"/>
                <w:lang w:val="en-US" w:eastAsia="zh-CN"/>
              </w:rPr>
              <w:t>22</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2552"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113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8646" w:type="dxa"/>
            <w:gridSpan w:val="9"/>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本年收入</w:t>
            </w:r>
          </w:p>
        </w:tc>
        <w:tc>
          <w:tcPr>
            <w:tcW w:w="1026"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上年</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1560"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小计</w:t>
            </w: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财政拨款收入</w:t>
            </w: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上级补助收入</w:t>
            </w:r>
          </w:p>
        </w:tc>
        <w:tc>
          <w:tcPr>
            <w:tcW w:w="2126" w:type="dxa"/>
            <w:gridSpan w:val="2"/>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事业收入</w:t>
            </w: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经营</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收入</w:t>
            </w: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附属单位上缴收入</w:t>
            </w:r>
          </w:p>
        </w:tc>
        <w:tc>
          <w:tcPr>
            <w:tcW w:w="1134" w:type="dxa"/>
            <w:gridSpan w:val="2"/>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其他收入</w:t>
            </w:r>
          </w:p>
        </w:tc>
        <w:tc>
          <w:tcPr>
            <w:tcW w:w="1026"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blHeader/>
        </w:trPr>
        <w:tc>
          <w:tcPr>
            <w:tcW w:w="724"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560"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小计</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其中：财政专户收入</w:t>
            </w: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134" w:type="dxa"/>
            <w:gridSpan w:val="2"/>
            <w:vMerge w:val="continue"/>
            <w:vAlign w:val="center"/>
          </w:tcPr>
          <w:p>
            <w:pPr>
              <w:widowControl/>
              <w:adjustRightInd w:val="0"/>
              <w:snapToGrid w:val="0"/>
              <w:jc w:val="center"/>
              <w:rPr>
                <w:rFonts w:ascii="方正书宋_GBK" w:eastAsia="方正书宋_GBK"/>
                <w:b/>
                <w:bCs/>
                <w:kern w:val="0"/>
                <w:szCs w:val="21"/>
              </w:rPr>
            </w:pPr>
          </w:p>
        </w:tc>
        <w:tc>
          <w:tcPr>
            <w:tcW w:w="1026"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blHeader/>
        </w:trPr>
        <w:tc>
          <w:tcPr>
            <w:tcW w:w="724"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560"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8</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9</w:t>
            </w:r>
          </w:p>
        </w:tc>
        <w:tc>
          <w:tcPr>
            <w:tcW w:w="1002" w:type="dxa"/>
            <w:gridSpan w:val="2"/>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10</w:t>
            </w:r>
          </w:p>
        </w:tc>
        <w:tc>
          <w:tcPr>
            <w:tcW w:w="112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11</w:t>
            </w:r>
          </w:p>
        </w:tc>
        <w:tc>
          <w:tcPr>
            <w:tcW w:w="1026"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99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560"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134" w:type="dxa"/>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1134"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203545.73</w:t>
            </w: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b/>
                <w:bCs/>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992"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201</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一般公共服务支出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992"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20</w:t>
            </w:r>
            <w:r>
              <w:rPr>
                <w:rFonts w:hint="eastAsia" w:ascii="方正书宋_GBK" w:hAnsi="宋体" w:eastAsia="方正书宋_GBK" w:cs="宋体"/>
                <w:kern w:val="0"/>
                <w:szCs w:val="21"/>
                <w:lang w:val="en-US" w:eastAsia="zh-CN"/>
              </w:rPr>
              <w:t>132</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组织</w:t>
            </w:r>
            <w:r>
              <w:rPr>
                <w:rFonts w:hint="eastAsia" w:ascii="方正书宋_GBK" w:hAnsi="宋体" w:eastAsia="方正书宋_GBK" w:cs="宋体"/>
                <w:kern w:val="0"/>
                <w:szCs w:val="21"/>
              </w:rPr>
              <w:t>事务</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992"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201</w:t>
            </w:r>
            <w:r>
              <w:rPr>
                <w:rFonts w:hint="eastAsia" w:ascii="方正书宋_GBK" w:hAnsi="宋体" w:eastAsia="方正书宋_GBK" w:cs="宋体"/>
                <w:kern w:val="0"/>
                <w:szCs w:val="21"/>
                <w:lang w:val="en-US" w:eastAsia="zh-CN"/>
              </w:rPr>
              <w:t>3201</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行政运行</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5</w:t>
            </w:r>
          </w:p>
        </w:tc>
        <w:tc>
          <w:tcPr>
            <w:tcW w:w="992"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208</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社会保障和就业支出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4.53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4.53</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4.53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6</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行政事业单位养老支出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7</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2080505</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机关事业单位基本养老保险缴费支出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8</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财政对其他社会保险基金的补助</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9</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2082702</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财政对工伤保险基金的补助</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10</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卫生健康支出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11</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行政事业单位医疗</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12</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2101101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行政单位医疗</w:t>
            </w:r>
          </w:p>
        </w:tc>
        <w:tc>
          <w:tcPr>
            <w:tcW w:w="1134"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13</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住房保障支出</w:t>
            </w:r>
          </w:p>
        </w:tc>
        <w:tc>
          <w:tcPr>
            <w:tcW w:w="1134"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14</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住房改革支出</w:t>
            </w:r>
          </w:p>
        </w:tc>
        <w:tc>
          <w:tcPr>
            <w:tcW w:w="1134"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15</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2210201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1134"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bl>
    <w:p>
      <w:pPr>
        <w:sectPr>
          <w:pgSz w:w="16838" w:h="11906" w:orient="landscape"/>
          <w:pgMar w:top="1800" w:right="1440" w:bottom="1800" w:left="1440" w:header="851" w:footer="992" w:gutter="0"/>
          <w:cols w:space="720" w:num="1"/>
          <w:docGrid w:type="lines" w:linePitch="312" w:charSpace="0"/>
        </w:sectPr>
      </w:pPr>
    </w:p>
    <w:p>
      <w:pPr>
        <w:pStyle w:val="3"/>
      </w:pPr>
      <w:bookmarkStart w:id="2" w:name="_Toc62828909"/>
      <w:r>
        <w:rPr>
          <w:rFonts w:hint="eastAsia"/>
        </w:rPr>
        <w:t>部门预算支出总表</w:t>
      </w:r>
      <w:bookmarkEnd w:id="2"/>
    </w:p>
    <w:tbl>
      <w:tblPr>
        <w:tblStyle w:val="11"/>
        <w:tblW w:w="140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065"/>
        <w:gridCol w:w="3181"/>
        <w:gridCol w:w="1417"/>
        <w:gridCol w:w="1418"/>
        <w:gridCol w:w="1559"/>
        <w:gridCol w:w="992"/>
        <w:gridCol w:w="1397"/>
        <w:gridCol w:w="1214"/>
        <w:gridCol w:w="1088"/>
        <w:gridCol w:w="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082" w:type="dxa"/>
            <w:gridSpan w:val="11"/>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w:t>
            </w:r>
            <w:r>
              <w:rPr>
                <w:rFonts w:hint="eastAsia" w:ascii="方正小标宋_GBK" w:eastAsia="方正小标宋_GBK"/>
                <w:bCs/>
                <w:kern w:val="0"/>
                <w:sz w:val="24"/>
                <w:lang w:eastAsia="zh-CN"/>
              </w:rPr>
              <w:t>预算年度：2022</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blHeader/>
        </w:trPr>
        <w:tc>
          <w:tcPr>
            <w:tcW w:w="589"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4246"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科目</w:t>
            </w:r>
          </w:p>
        </w:tc>
        <w:tc>
          <w:tcPr>
            <w:tcW w:w="1417"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418"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1559"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c>
          <w:tcPr>
            <w:tcW w:w="992"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上缴上级支出</w:t>
            </w:r>
          </w:p>
        </w:tc>
        <w:tc>
          <w:tcPr>
            <w:tcW w:w="1397"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经营支出</w:t>
            </w:r>
          </w:p>
        </w:tc>
        <w:tc>
          <w:tcPr>
            <w:tcW w:w="121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对附属单位补助支出</w:t>
            </w:r>
          </w:p>
        </w:tc>
        <w:tc>
          <w:tcPr>
            <w:tcW w:w="1088"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948" w:hRule="atLeast"/>
          <w:tblHeader/>
        </w:trPr>
        <w:tc>
          <w:tcPr>
            <w:tcW w:w="589" w:type="dxa"/>
            <w:vMerge w:val="continue"/>
            <w:vAlign w:val="center"/>
          </w:tcPr>
          <w:p>
            <w:pPr>
              <w:widowControl/>
              <w:adjustRightInd w:val="0"/>
              <w:snapToGrid w:val="0"/>
              <w:jc w:val="center"/>
              <w:rPr>
                <w:rFonts w:ascii="方正书宋_GBK" w:eastAsia="方正书宋_GBK"/>
                <w:b/>
                <w:bCs/>
                <w:kern w:val="0"/>
                <w:szCs w:val="21"/>
              </w:rPr>
            </w:pPr>
          </w:p>
        </w:tc>
        <w:tc>
          <w:tcPr>
            <w:tcW w:w="106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3181"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1417" w:type="dxa"/>
            <w:vMerge w:val="continue"/>
            <w:vAlign w:val="center"/>
          </w:tcPr>
          <w:p>
            <w:pPr>
              <w:widowControl/>
              <w:adjustRightInd w:val="0"/>
              <w:snapToGrid w:val="0"/>
              <w:jc w:val="center"/>
              <w:rPr>
                <w:rFonts w:ascii="方正书宋_GBK" w:eastAsia="方正书宋_GBK"/>
                <w:b/>
                <w:bCs/>
                <w:kern w:val="0"/>
                <w:szCs w:val="21"/>
              </w:rPr>
            </w:pPr>
          </w:p>
        </w:tc>
        <w:tc>
          <w:tcPr>
            <w:tcW w:w="1418" w:type="dxa"/>
            <w:vMerge w:val="continue"/>
            <w:vAlign w:val="center"/>
          </w:tcPr>
          <w:p>
            <w:pPr>
              <w:widowControl/>
              <w:adjustRightInd w:val="0"/>
              <w:snapToGrid w:val="0"/>
              <w:jc w:val="center"/>
              <w:rPr>
                <w:rFonts w:ascii="方正书宋_GBK" w:eastAsia="方正书宋_GBK"/>
                <w:b/>
                <w:bCs/>
                <w:kern w:val="0"/>
                <w:szCs w:val="21"/>
              </w:rPr>
            </w:pPr>
          </w:p>
        </w:tc>
        <w:tc>
          <w:tcPr>
            <w:tcW w:w="1559"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397" w:type="dxa"/>
            <w:vMerge w:val="continue"/>
            <w:vAlign w:val="center"/>
          </w:tcPr>
          <w:p>
            <w:pPr>
              <w:widowControl/>
              <w:adjustRightInd w:val="0"/>
              <w:snapToGrid w:val="0"/>
              <w:jc w:val="center"/>
              <w:rPr>
                <w:rFonts w:ascii="方正书宋_GBK" w:eastAsia="方正书宋_GBK"/>
                <w:b/>
                <w:bCs/>
                <w:kern w:val="0"/>
                <w:szCs w:val="21"/>
              </w:rPr>
            </w:pPr>
          </w:p>
        </w:tc>
        <w:tc>
          <w:tcPr>
            <w:tcW w:w="1214" w:type="dxa"/>
            <w:vMerge w:val="continue"/>
            <w:vAlign w:val="center"/>
          </w:tcPr>
          <w:p>
            <w:pPr>
              <w:widowControl/>
              <w:adjustRightInd w:val="0"/>
              <w:snapToGrid w:val="0"/>
              <w:jc w:val="center"/>
              <w:rPr>
                <w:rFonts w:ascii="方正书宋_GBK" w:eastAsia="方正书宋_GBK"/>
                <w:b/>
                <w:bCs/>
                <w:kern w:val="0"/>
                <w:szCs w:val="21"/>
              </w:rPr>
            </w:pPr>
          </w:p>
        </w:tc>
        <w:tc>
          <w:tcPr>
            <w:tcW w:w="1088"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80" w:hRule="atLeast"/>
          <w:tblHeader/>
        </w:trPr>
        <w:tc>
          <w:tcPr>
            <w:tcW w:w="589"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065"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3181"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417"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418"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559"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1397"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c>
          <w:tcPr>
            <w:tcW w:w="121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8</w:t>
            </w:r>
          </w:p>
        </w:tc>
        <w:tc>
          <w:tcPr>
            <w:tcW w:w="1088"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jc w:val="center"/>
              <w:rPr>
                <w:kern w:val="0"/>
                <w:sz w:val="24"/>
              </w:rPr>
            </w:pPr>
            <w:r>
              <w:rPr>
                <w:kern w:val="0"/>
                <w:sz w:val="24"/>
              </w:rPr>
              <w:t>1</w:t>
            </w:r>
          </w:p>
        </w:tc>
        <w:tc>
          <w:tcPr>
            <w:tcW w:w="1065" w:type="dxa"/>
            <w:shd w:val="clear" w:color="auto" w:fill="auto"/>
            <w:noWrap/>
            <w:vAlign w:val="center"/>
          </w:tcPr>
          <w:p>
            <w:pPr>
              <w:widowControl/>
              <w:adjustRightInd w:val="0"/>
              <w:snapToGrid w:val="0"/>
              <w:jc w:val="left"/>
              <w:rPr>
                <w:rFonts w:ascii="方正书宋_GBK" w:eastAsia="方正书宋_GBK"/>
                <w:b/>
                <w:kern w:val="0"/>
                <w:szCs w:val="21"/>
              </w:rPr>
            </w:pPr>
            <w:r>
              <w:rPr>
                <w:rFonts w:ascii="方正书宋_GBK" w:eastAsia="方正书宋_GBK"/>
                <w:b/>
                <w:kern w:val="0"/>
                <w:szCs w:val="21"/>
              </w:rPr>
              <w:t>　</w:t>
            </w:r>
          </w:p>
        </w:tc>
        <w:tc>
          <w:tcPr>
            <w:tcW w:w="3181" w:type="dxa"/>
            <w:shd w:val="clear" w:color="auto" w:fill="auto"/>
            <w:noWrap/>
            <w:vAlign w:val="center"/>
          </w:tcPr>
          <w:p>
            <w:pPr>
              <w:widowControl/>
              <w:adjustRightInd w:val="0"/>
              <w:snapToGrid w:val="0"/>
              <w:jc w:val="center"/>
              <w:rPr>
                <w:rFonts w:ascii="方正书宋_GBK" w:eastAsia="方正书宋_GBK"/>
                <w:b/>
                <w:kern w:val="0"/>
                <w:szCs w:val="21"/>
              </w:rPr>
            </w:pPr>
            <w:r>
              <w:rPr>
                <w:rFonts w:ascii="方正书宋_GBK" w:eastAsia="方正书宋_GBK"/>
                <w:b/>
                <w:kern w:val="0"/>
                <w:szCs w:val="21"/>
              </w:rPr>
              <w:t>合计</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b/>
                <w:kern w:val="0"/>
                <w:szCs w:val="21"/>
              </w:rPr>
            </w:pPr>
            <w:r>
              <w:rPr>
                <w:rFonts w:hint="default" w:ascii="Calibri" w:hAnsi="Calibri" w:eastAsia="宋体" w:cs="Calibri"/>
                <w:i w:val="0"/>
                <w:iCs w:val="0"/>
                <w:color w:val="000000"/>
                <w:kern w:val="0"/>
                <w:sz w:val="22"/>
                <w:szCs w:val="22"/>
                <w:u w:val="none"/>
                <w:lang w:val="en-US" w:eastAsia="zh-CN" w:bidi="ar"/>
              </w:rPr>
              <w:t>60.20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b/>
                <w:kern w:val="0"/>
                <w:szCs w:val="21"/>
              </w:rPr>
            </w:pPr>
            <w:r>
              <w:rPr>
                <w:rFonts w:hint="default" w:ascii="Calibri" w:hAnsi="Calibri" w:eastAsia="宋体" w:cs="Calibri"/>
                <w:i w:val="0"/>
                <w:iCs w:val="0"/>
                <w:color w:val="000000"/>
                <w:kern w:val="0"/>
                <w:sz w:val="22"/>
                <w:szCs w:val="22"/>
                <w:u w:val="none"/>
                <w:lang w:val="en-US" w:eastAsia="zh-CN" w:bidi="ar"/>
              </w:rPr>
              <w:t>54.28</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b/>
                <w:kern w:val="0"/>
                <w:szCs w:val="21"/>
              </w:rPr>
            </w:pPr>
            <w:r>
              <w:rPr>
                <w:rFonts w:hint="default" w:ascii="Calibri" w:hAnsi="Calibri" w:eastAsia="宋体" w:cs="Calibri"/>
                <w:i w:val="0"/>
                <w:iCs w:val="0"/>
                <w:color w:val="000000"/>
                <w:kern w:val="0"/>
                <w:sz w:val="22"/>
                <w:szCs w:val="22"/>
                <w:u w:val="none"/>
                <w:lang w:val="en-US" w:eastAsia="zh-CN" w:bidi="ar"/>
              </w:rPr>
              <w:t>5.92</w:t>
            </w:r>
          </w:p>
        </w:tc>
        <w:tc>
          <w:tcPr>
            <w:tcW w:w="992" w:type="dxa"/>
            <w:shd w:val="clear" w:color="auto" w:fill="auto"/>
            <w:noWrap/>
            <w:vAlign w:val="center"/>
          </w:tcPr>
          <w:p>
            <w:pPr>
              <w:widowControl/>
              <w:adjustRightInd w:val="0"/>
              <w:snapToGrid w:val="0"/>
              <w:jc w:val="right"/>
              <w:rPr>
                <w:rFonts w:ascii="方正书宋_GBK" w:eastAsia="方正书宋_GBK"/>
                <w:b/>
                <w:kern w:val="0"/>
                <w:szCs w:val="21"/>
              </w:rPr>
            </w:pPr>
          </w:p>
        </w:tc>
        <w:tc>
          <w:tcPr>
            <w:tcW w:w="1397" w:type="dxa"/>
            <w:shd w:val="clear" w:color="auto" w:fill="auto"/>
            <w:noWrap/>
          </w:tcPr>
          <w:p>
            <w:pPr>
              <w:widowControl/>
              <w:adjustRightInd w:val="0"/>
              <w:snapToGrid w:val="0"/>
              <w:jc w:val="left"/>
              <w:rPr>
                <w:rFonts w:ascii="方正书宋_GBK" w:eastAsia="方正书宋_GBK"/>
                <w:b/>
                <w:kern w:val="0"/>
                <w:szCs w:val="21"/>
              </w:rPr>
            </w:pPr>
            <w:r>
              <w:rPr>
                <w:rFonts w:hint="eastAsia" w:ascii="方正书宋_GBK" w:eastAsia="方正书宋_GBK"/>
                <w:b/>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b/>
                <w:kern w:val="0"/>
                <w:szCs w:val="21"/>
              </w:rPr>
            </w:pPr>
            <w:r>
              <w:rPr>
                <w:rFonts w:ascii="方正书宋_GBK" w:eastAsia="方正书宋_GBK"/>
                <w:b/>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2</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一般公共服务支出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50.19</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44.27</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5.92</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3</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20132</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组织事务</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50.19</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44.27</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5.92</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4</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2013201</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行政运行</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50.19</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44.27</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5.92</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5</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社会保障和就业支出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4.53</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4.53</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6</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20805</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行政事业单位养老支出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4.37</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4.37</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7</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2080505</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机关事业单位基本养老保险缴费支出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4.37</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4.37</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8</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20827</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财政对其他社会保险基金的补助</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0.16</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0.16</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9</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2082702</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财政对工伤保险基金的补助</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0.16</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0.16</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10</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卫生健康支出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11</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21011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行政事业单位医疗</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559" w:type="dxa"/>
            <w:shd w:val="clear" w:color="auto" w:fill="auto"/>
            <w:noWrap/>
            <w:vAlign w:val="top"/>
          </w:tcPr>
          <w:p>
            <w:pPr>
              <w:jc w:val="right"/>
              <w:rPr>
                <w:rFonts w:ascii="方正书宋_GBK" w:eastAsia="方正书宋_GBK"/>
                <w:kern w:val="0"/>
                <w:szCs w:val="21"/>
                <w:highlight w:val="yellow"/>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12</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2101101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行政单位医疗</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13</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住房保障支出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14</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22102</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住房改革支出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15</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2210201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住房公积金</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highlight w:val="green"/>
        </w:rPr>
      </w:pPr>
      <w:bookmarkStart w:id="3" w:name="_Toc62828910"/>
      <w:r>
        <w:rPr>
          <w:rFonts w:hint="eastAsia"/>
        </w:rPr>
        <w:t>部门预算财政拨款收支总表</w:t>
      </w:r>
      <w:bookmarkEnd w:id="3"/>
    </w:p>
    <w:tbl>
      <w:tblPr>
        <w:tblStyle w:val="11"/>
        <w:tblW w:w="0" w:type="auto"/>
        <w:tblInd w:w="93" w:type="dxa"/>
        <w:tblLayout w:type="fixed"/>
        <w:tblCellMar>
          <w:top w:w="0" w:type="dxa"/>
          <w:left w:w="108" w:type="dxa"/>
          <w:bottom w:w="0" w:type="dxa"/>
          <w:right w:w="108" w:type="dxa"/>
        </w:tblCellMar>
      </w:tblPr>
      <w:tblGrid>
        <w:gridCol w:w="724"/>
        <w:gridCol w:w="3544"/>
        <w:gridCol w:w="1276"/>
        <w:gridCol w:w="3577"/>
        <w:gridCol w:w="1240"/>
        <w:gridCol w:w="1240"/>
        <w:gridCol w:w="314"/>
        <w:gridCol w:w="926"/>
        <w:gridCol w:w="1240"/>
      </w:tblGrid>
      <w:tr>
        <w:tblPrEx>
          <w:tblCellMar>
            <w:top w:w="0" w:type="dxa"/>
            <w:left w:w="108" w:type="dxa"/>
            <w:bottom w:w="0" w:type="dxa"/>
            <w:right w:w="108" w:type="dxa"/>
          </w:tblCellMar>
        </w:tblPrEx>
        <w:trPr>
          <w:trHeight w:val="311" w:hRule="atLeast"/>
          <w:tblHeader/>
        </w:trPr>
        <w:tc>
          <w:tcPr>
            <w:tcW w:w="4268" w:type="dxa"/>
            <w:gridSpan w:val="2"/>
            <w:vMerge w:val="restart"/>
            <w:tcBorders>
              <w:top w:val="nil"/>
              <w:left w:val="nil"/>
              <w:bottom w:val="single" w:color="000000" w:sz="4" w:space="0"/>
              <w:right w:val="nil"/>
            </w:tcBorders>
            <w:shd w:val="clear" w:color="auto" w:fill="auto"/>
            <w:vAlign w:val="center"/>
          </w:tcPr>
          <w:p>
            <w:pPr>
              <w:widowControl/>
              <w:adjustRightInd w:val="0"/>
              <w:snapToGrid w:val="0"/>
              <w:jc w:val="left"/>
              <w:rPr>
                <w:rFonts w:hint="eastAsia" w:ascii="宋体" w:hAnsi="宋体" w:eastAsia="宋体" w:cs="宋体"/>
                <w:b/>
                <w:bCs/>
                <w:kern w:val="0"/>
                <w:sz w:val="24"/>
                <w:lang w:eastAsia="zh-CN"/>
              </w:rPr>
            </w:pPr>
            <w:r>
              <w:rPr>
                <w:rFonts w:hint="eastAsia" w:ascii="宋体" w:hAnsi="宋体" w:cs="宋体"/>
                <w:b/>
                <w:bCs/>
                <w:kern w:val="0"/>
                <w:sz w:val="24"/>
                <w:lang w:eastAsia="zh-CN"/>
              </w:rPr>
              <w:t>225002中共承德市鹰手营子矿区委机构编制委员会办公室</w:t>
            </w:r>
          </w:p>
        </w:tc>
        <w:tc>
          <w:tcPr>
            <w:tcW w:w="4853" w:type="dxa"/>
            <w:gridSpan w:val="2"/>
            <w:vMerge w:val="restart"/>
            <w:tcBorders>
              <w:top w:val="nil"/>
              <w:left w:val="nil"/>
              <w:bottom w:val="single" w:color="000000" w:sz="4" w:space="0"/>
              <w:right w:val="nil"/>
            </w:tcBorders>
            <w:shd w:val="clear" w:color="auto" w:fill="auto"/>
            <w:vAlign w:val="center"/>
          </w:tcPr>
          <w:p>
            <w:pPr>
              <w:widowControl/>
              <w:adjustRightInd w:val="0"/>
              <w:snapToGrid w:val="0"/>
              <w:jc w:val="center"/>
              <w:rPr>
                <w:rFonts w:hint="eastAsia" w:eastAsia="宋体"/>
                <w:b/>
                <w:bCs/>
                <w:kern w:val="0"/>
                <w:sz w:val="24"/>
                <w:lang w:eastAsia="zh-CN"/>
              </w:rPr>
            </w:pPr>
            <w:r>
              <w:rPr>
                <w:rFonts w:hint="eastAsia" w:ascii="宋体" w:hAnsi="宋体"/>
                <w:b/>
                <w:bCs/>
                <w:kern w:val="0"/>
                <w:sz w:val="24"/>
                <w:lang w:eastAsia="zh-CN"/>
              </w:rPr>
              <w:t>预算年度：2022</w:t>
            </w:r>
          </w:p>
        </w:tc>
        <w:tc>
          <w:tcPr>
            <w:tcW w:w="2794" w:type="dxa"/>
            <w:gridSpan w:val="3"/>
            <w:vMerge w:val="restart"/>
            <w:tcBorders>
              <w:top w:val="nil"/>
              <w:left w:val="nil"/>
              <w:bottom w:val="nil"/>
              <w:right w:val="nil"/>
            </w:tcBorders>
            <w:shd w:val="clear" w:color="auto" w:fill="auto"/>
            <w:vAlign w:val="center"/>
          </w:tcPr>
          <w:p>
            <w:pPr>
              <w:widowControl/>
              <w:adjustRightInd w:val="0"/>
              <w:snapToGrid w:val="0"/>
              <w:jc w:val="left"/>
              <w:rPr>
                <w:rFonts w:ascii="宋体" w:hAnsi="宋体" w:cs="宋体"/>
                <w:b/>
                <w:bCs/>
                <w:kern w:val="0"/>
                <w:sz w:val="24"/>
              </w:rPr>
            </w:pPr>
          </w:p>
        </w:tc>
        <w:tc>
          <w:tcPr>
            <w:tcW w:w="2166" w:type="dxa"/>
            <w:gridSpan w:val="2"/>
            <w:vMerge w:val="restart"/>
            <w:tcBorders>
              <w:top w:val="nil"/>
              <w:left w:val="nil"/>
              <w:bottom w:val="nil"/>
              <w:right w:val="nil"/>
            </w:tcBorders>
            <w:shd w:val="clear" w:color="auto" w:fill="auto"/>
            <w:vAlign w:val="center"/>
          </w:tcPr>
          <w:p>
            <w:pPr>
              <w:widowControl/>
              <w:adjustRightInd w:val="0"/>
              <w:snapToGrid w:val="0"/>
              <w:jc w:val="right"/>
              <w:rPr>
                <w:b/>
                <w:bCs/>
                <w:kern w:val="0"/>
                <w:sz w:val="24"/>
              </w:rPr>
            </w:pPr>
            <w:r>
              <w:rPr>
                <w:b/>
                <w:bCs/>
                <w:kern w:val="0"/>
                <w:sz w:val="24"/>
              </w:rPr>
              <w:t>金额单位：万元</w:t>
            </w:r>
          </w:p>
        </w:tc>
      </w:tr>
      <w:tr>
        <w:tblPrEx>
          <w:tblCellMar>
            <w:top w:w="0" w:type="dxa"/>
            <w:left w:w="108" w:type="dxa"/>
            <w:bottom w:w="0" w:type="dxa"/>
            <w:right w:w="108" w:type="dxa"/>
          </w:tblCellMar>
        </w:tblPrEx>
        <w:trPr>
          <w:trHeight w:val="312" w:hRule="atLeast"/>
          <w:tblHeader/>
        </w:trPr>
        <w:tc>
          <w:tcPr>
            <w:tcW w:w="4268" w:type="dxa"/>
            <w:gridSpan w:val="2"/>
            <w:vMerge w:val="continue"/>
            <w:tcBorders>
              <w:top w:val="nil"/>
              <w:left w:val="nil"/>
              <w:bottom w:val="single" w:color="000000" w:sz="4" w:space="0"/>
              <w:right w:val="nil"/>
            </w:tcBorders>
            <w:vAlign w:val="center"/>
          </w:tcPr>
          <w:p>
            <w:pPr>
              <w:widowControl/>
              <w:jc w:val="left"/>
              <w:rPr>
                <w:rFonts w:ascii="宋体" w:hAnsi="宋体" w:cs="宋体"/>
                <w:b/>
                <w:bCs/>
                <w:kern w:val="0"/>
                <w:sz w:val="24"/>
              </w:rPr>
            </w:pPr>
          </w:p>
        </w:tc>
        <w:tc>
          <w:tcPr>
            <w:tcW w:w="4853" w:type="dxa"/>
            <w:gridSpan w:val="2"/>
            <w:vMerge w:val="continue"/>
            <w:tcBorders>
              <w:top w:val="nil"/>
              <w:left w:val="nil"/>
              <w:bottom w:val="single" w:color="000000" w:sz="4" w:space="0"/>
              <w:right w:val="nil"/>
            </w:tcBorders>
            <w:vAlign w:val="center"/>
          </w:tcPr>
          <w:p>
            <w:pPr>
              <w:widowControl/>
              <w:jc w:val="left"/>
              <w:rPr>
                <w:b/>
                <w:bCs/>
                <w:kern w:val="0"/>
                <w:sz w:val="24"/>
              </w:rPr>
            </w:pPr>
          </w:p>
        </w:tc>
        <w:tc>
          <w:tcPr>
            <w:tcW w:w="2794" w:type="dxa"/>
            <w:gridSpan w:val="3"/>
            <w:vMerge w:val="continue"/>
            <w:tcBorders>
              <w:top w:val="nil"/>
              <w:left w:val="nil"/>
              <w:bottom w:val="nil"/>
              <w:right w:val="nil"/>
            </w:tcBorders>
            <w:vAlign w:val="center"/>
          </w:tcPr>
          <w:p>
            <w:pPr>
              <w:widowControl/>
              <w:jc w:val="left"/>
              <w:rPr>
                <w:rFonts w:ascii="宋体" w:hAnsi="宋体" w:cs="宋体"/>
                <w:b/>
                <w:bCs/>
                <w:kern w:val="0"/>
                <w:sz w:val="24"/>
              </w:rPr>
            </w:pPr>
          </w:p>
        </w:tc>
        <w:tc>
          <w:tcPr>
            <w:tcW w:w="2166" w:type="dxa"/>
            <w:gridSpan w:val="2"/>
            <w:vMerge w:val="continue"/>
            <w:tcBorders>
              <w:top w:val="nil"/>
              <w:left w:val="nil"/>
              <w:bottom w:val="nil"/>
              <w:right w:val="nil"/>
            </w:tcBorders>
            <w:vAlign w:val="center"/>
          </w:tcPr>
          <w:p>
            <w:pPr>
              <w:widowControl/>
              <w:jc w:val="left"/>
              <w:rPr>
                <w:b/>
                <w:bCs/>
                <w:kern w:val="0"/>
                <w:sz w:val="24"/>
              </w:rPr>
            </w:pPr>
          </w:p>
        </w:tc>
      </w:tr>
      <w:tr>
        <w:tblPrEx>
          <w:tblCellMar>
            <w:top w:w="0" w:type="dxa"/>
            <w:left w:w="108" w:type="dxa"/>
            <w:bottom w:w="0" w:type="dxa"/>
            <w:right w:w="108" w:type="dxa"/>
          </w:tblCellMar>
        </w:tblPrEx>
        <w:trPr>
          <w:trHeight w:val="1080" w:hRule="atLeast"/>
          <w:tblHead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栏次</w:t>
            </w:r>
          </w:p>
        </w:tc>
        <w:tc>
          <w:tcPr>
            <w:tcW w:w="35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项    目</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金额</w:t>
            </w:r>
          </w:p>
        </w:tc>
        <w:tc>
          <w:tcPr>
            <w:tcW w:w="35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项    目</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合计</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一般公共预算财政拨款</w:t>
            </w:r>
          </w:p>
        </w:tc>
        <w:tc>
          <w:tcPr>
            <w:tcW w:w="124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政府性基金预算财政拨款</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国有资本经营预算财政拨款</w:t>
            </w:r>
          </w:p>
        </w:tc>
      </w:tr>
      <w:tr>
        <w:tblPrEx>
          <w:tblCellMar>
            <w:top w:w="0" w:type="dxa"/>
            <w:left w:w="108" w:type="dxa"/>
            <w:bottom w:w="0" w:type="dxa"/>
            <w:right w:w="108" w:type="dxa"/>
          </w:tblCellMar>
        </w:tblPrEx>
        <w:trPr>
          <w:trHeight w:val="405" w:hRule="atLeast"/>
          <w:tblHead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栏次</w:t>
            </w:r>
          </w:p>
        </w:tc>
        <w:tc>
          <w:tcPr>
            <w:tcW w:w="35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35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240"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60.20</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一、一般公共服务支出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50.19</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50.19</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二、政府性基金预算财政拨款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二、外交支出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三、国有资本经营预算财政拨款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三、国防支出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四、公共安全支出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五、教育支出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六、科学技术支出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七、文化旅游体育与传媒支出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八、社会保障和就业支出</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4.53</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4.53</w:t>
            </w:r>
          </w:p>
        </w:tc>
        <w:tc>
          <w:tcPr>
            <w:tcW w:w="12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九、社会保险基金支出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十、卫生健康支出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2.20</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2.20</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十一、节能环保支出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十二、城乡社区支出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十三、农林水支出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十四、交通运输支出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十五、资源勘探工业信息等支出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十六、商业服务业等支出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十七、金融支出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十八、援助其他地区支出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十九、自然资源海洋气象等支出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二十、住房保障支出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3.28</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3.28</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21</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二十一、粮油物资储备支出</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二十二、国有资本经营预算支出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二十三、灾害防治及应急管理支出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二十四、其他支出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二十五、转移性支出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二十六、债务还本支出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二十七、债务付息支出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28</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二十八、债务发行费用支出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本年收入合计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本年支出合计</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lang w:val="en-US" w:eastAsia="zh-CN"/>
              </w:rPr>
              <w:t>60.20</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lang w:val="en-US" w:eastAsia="zh-CN"/>
              </w:rPr>
              <w:t>60.20</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上年结转</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xml:space="preserve">    结转下年</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b/>
                <w:bCs/>
                <w:kern w:val="0"/>
                <w:szCs w:val="21"/>
              </w:rPr>
            </w:pPr>
            <w:r>
              <w:rPr>
                <w:rFonts w:hint="eastAsia" w:ascii="方正书宋_GBK" w:hAnsi="宋体" w:eastAsia="方正书宋_GBK" w:cs="宋体"/>
                <w:b/>
                <w:bCs/>
                <w:kern w:val="0"/>
                <w:szCs w:val="21"/>
              </w:rPr>
              <w:t xml:space="preserve">      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w:t>
            </w:r>
            <w:r>
              <w:rPr>
                <w:rFonts w:hint="eastAsia" w:ascii="方正书宋_GBK" w:hAnsi="宋体" w:eastAsia="方正书宋_GBK"/>
                <w:b/>
                <w:bCs/>
                <w:kern w:val="0"/>
                <w:szCs w:val="21"/>
              </w:rPr>
              <w:t>合计</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lang w:val="en-US" w:eastAsia="zh-CN"/>
              </w:rPr>
              <w:t>60.20</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lang w:val="en-US" w:eastAsia="zh-CN"/>
              </w:rPr>
              <w:t>60.20</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bl>
    <w:p>
      <w:pPr>
        <w:sectPr>
          <w:pgSz w:w="16838" w:h="11906" w:orient="landscape"/>
          <w:pgMar w:top="1800" w:right="1440" w:bottom="1800" w:left="1440" w:header="851" w:footer="992" w:gutter="0"/>
          <w:cols w:space="720" w:num="1"/>
          <w:docGrid w:type="lines" w:linePitch="312" w:charSpace="0"/>
        </w:sectPr>
      </w:pPr>
    </w:p>
    <w:p>
      <w:pPr>
        <w:pStyle w:val="3"/>
        <w:rPr>
          <w:highlight w:val="green"/>
        </w:rPr>
      </w:pPr>
      <w:bookmarkStart w:id="4" w:name="_Toc62828911"/>
      <w:r>
        <w:rPr>
          <w:rFonts w:hint="eastAsia"/>
        </w:rPr>
        <w:t>部门预算一般公共预算财政拨款支出表</w:t>
      </w:r>
      <w:bookmarkEnd w:id="4"/>
    </w:p>
    <w:tbl>
      <w:tblPr>
        <w:tblStyle w:val="11"/>
        <w:tblW w:w="0" w:type="auto"/>
        <w:jc w:val="center"/>
        <w:tblLayout w:type="autofit"/>
        <w:tblCellMar>
          <w:top w:w="0" w:type="dxa"/>
          <w:left w:w="108" w:type="dxa"/>
          <w:bottom w:w="0" w:type="dxa"/>
          <w:right w:w="108" w:type="dxa"/>
        </w:tblCellMar>
      </w:tblPr>
      <w:tblGrid>
        <w:gridCol w:w="1129"/>
        <w:gridCol w:w="4861"/>
        <w:gridCol w:w="4355"/>
        <w:gridCol w:w="1212"/>
        <w:gridCol w:w="1085"/>
        <w:gridCol w:w="1256"/>
      </w:tblGrid>
      <w:tr>
        <w:tblPrEx>
          <w:tblCellMar>
            <w:top w:w="0" w:type="dxa"/>
            <w:left w:w="108" w:type="dxa"/>
            <w:bottom w:w="0" w:type="dxa"/>
            <w:right w:w="108" w:type="dxa"/>
          </w:tblCellMar>
        </w:tblPrEx>
        <w:trPr>
          <w:cantSplit/>
          <w:trHeight w:val="324" w:hRule="atLeast"/>
          <w:tblHeader/>
          <w:jc w:val="center"/>
        </w:trPr>
        <w:tc>
          <w:tcPr>
            <w:tcW w:w="13898" w:type="dxa"/>
            <w:gridSpan w:val="6"/>
            <w:tcBorders>
              <w:top w:val="nil"/>
              <w:left w:val="nil"/>
              <w:bottom w:val="single" w:color="auto" w:sz="4" w:space="0"/>
              <w:right w:val="nil"/>
            </w:tcBorders>
            <w:shd w:val="clear" w:color="auto" w:fill="auto"/>
            <w:vAlign w:val="center"/>
          </w:tcPr>
          <w:p>
            <w:pPr>
              <w:widowControl/>
              <w:adjustRightInd w:val="0"/>
              <w:snapToGrid w:val="0"/>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hAnsi="宋体" w:eastAsia="方正书宋_GBK" w:cs="宋体"/>
                <w:b/>
                <w:bCs/>
                <w:kern w:val="0"/>
                <w:sz w:val="24"/>
                <w:lang w:eastAsia="zh-CN"/>
              </w:rPr>
              <w:t>预算年度：2022</w:t>
            </w:r>
            <w:r>
              <w:rPr>
                <w:rFonts w:hint="eastAsia" w:ascii="方正书宋_GBK" w:hAnsi="宋体" w:eastAsia="方正书宋_GBK" w:cs="宋体"/>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cantSplit/>
          <w:trHeight w:val="495" w:hRule="atLeast"/>
          <w:tblHeader/>
          <w:jc w:val="center"/>
        </w:trPr>
        <w:tc>
          <w:tcPr>
            <w:tcW w:w="112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921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cantSplit/>
          <w:trHeight w:val="648" w:hRule="atLeast"/>
          <w:tblHeader/>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4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r>
      <w:tr>
        <w:tblPrEx>
          <w:tblCellMar>
            <w:top w:w="0" w:type="dxa"/>
            <w:left w:w="108" w:type="dxa"/>
            <w:bottom w:w="0" w:type="dxa"/>
            <w:right w:w="108" w:type="dxa"/>
          </w:tblCellMar>
        </w:tblPrEx>
        <w:trPr>
          <w:cantSplit/>
          <w:trHeight w:val="360" w:hRule="atLeast"/>
          <w:tblHeader/>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4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486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60.20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54.28</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5.92</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50.19</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44.27</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5.92</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20132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组织事务</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50.19</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44.27</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5.92</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2013201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行政运行</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50.19</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44.27</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5.92</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4.53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　</w:t>
            </w:r>
            <w:r>
              <w:rPr>
                <w:rFonts w:hint="eastAsia" w:ascii="方正书宋_GBK" w:hAnsi="宋体" w:eastAsia="方正书宋_GBK" w:cs="宋体"/>
                <w:kern w:val="0"/>
                <w:szCs w:val="21"/>
                <w:lang w:val="en-US" w:eastAsia="zh-CN"/>
              </w:rPr>
              <w:t>4.53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行政事业单位养老支出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4.37</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4.37</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2080505</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机关事业单位基本养老保险缴费支出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4.37</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4.37</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财政对其他社会保险基金的补助</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0.16</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0.16</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2082702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财政对工伤保险基金的补助</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0.16</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0.16</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卫生健康支出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2.20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行政事业单位医疗</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2.20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　</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行政单位医疗</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2.20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住房改革支出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　</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　</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bookmarkStart w:id="5" w:name="_Toc62828912"/>
      <w:r>
        <w:rPr>
          <w:rFonts w:hint="eastAsia"/>
        </w:rPr>
        <w:t>部门预算一般公共预算财政拨款基本支出表</w:t>
      </w:r>
      <w:bookmarkEnd w:id="5"/>
    </w:p>
    <w:tbl>
      <w:tblPr>
        <w:tblStyle w:val="11"/>
        <w:tblW w:w="0" w:type="auto"/>
        <w:tblInd w:w="392" w:type="dxa"/>
        <w:tblLayout w:type="fixed"/>
        <w:tblCellMar>
          <w:top w:w="0" w:type="dxa"/>
          <w:left w:w="108" w:type="dxa"/>
          <w:bottom w:w="0" w:type="dxa"/>
          <w:right w:w="108" w:type="dxa"/>
        </w:tblCellMar>
      </w:tblPr>
      <w:tblGrid>
        <w:gridCol w:w="1721"/>
        <w:gridCol w:w="1256"/>
        <w:gridCol w:w="4369"/>
        <w:gridCol w:w="2145"/>
        <w:gridCol w:w="2145"/>
        <w:gridCol w:w="2146"/>
      </w:tblGrid>
      <w:tr>
        <w:tblPrEx>
          <w:tblCellMar>
            <w:top w:w="0" w:type="dxa"/>
            <w:left w:w="108" w:type="dxa"/>
            <w:bottom w:w="0" w:type="dxa"/>
            <w:right w:w="108" w:type="dxa"/>
          </w:tblCellMar>
        </w:tblPrEx>
        <w:trPr>
          <w:cantSplit/>
          <w:trHeight w:val="570" w:hRule="atLeast"/>
          <w:tblHeader/>
        </w:trPr>
        <w:tc>
          <w:tcPr>
            <w:tcW w:w="13782" w:type="dxa"/>
            <w:gridSpan w:val="6"/>
            <w:tcBorders>
              <w:top w:val="nil"/>
              <w:left w:val="nil"/>
              <w:bottom w:val="single" w:color="auto" w:sz="4" w:space="0"/>
              <w:right w:val="nil"/>
            </w:tcBorders>
            <w:shd w:val="clear" w:color="auto" w:fill="auto"/>
            <w:vAlign w:val="center"/>
          </w:tcPr>
          <w:p>
            <w:pPr>
              <w:widowControl/>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eastAsia="方正书宋_GBK"/>
                <w:b/>
                <w:bCs/>
                <w:kern w:val="0"/>
                <w:sz w:val="24"/>
                <w:lang w:eastAsia="zh-CN"/>
              </w:rPr>
              <w:t>预算年度：2022</w:t>
            </w:r>
            <w:r>
              <w:rPr>
                <w:rFonts w:hint="eastAsia"/>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cantSplit/>
          <w:trHeight w:val="480" w:hRule="atLeast"/>
          <w:tblHeader/>
        </w:trPr>
        <w:tc>
          <w:tcPr>
            <w:tcW w:w="172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5625"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6436"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r>
      <w:tr>
        <w:tblPrEx>
          <w:tblCellMar>
            <w:top w:w="0" w:type="dxa"/>
            <w:left w:w="108" w:type="dxa"/>
            <w:bottom w:w="0" w:type="dxa"/>
            <w:right w:w="108" w:type="dxa"/>
          </w:tblCellMar>
        </w:tblPrEx>
        <w:trPr>
          <w:cantSplit/>
          <w:trHeight w:val="645" w:hRule="atLeast"/>
          <w:tblHeader/>
        </w:trPr>
        <w:tc>
          <w:tcPr>
            <w:tcW w:w="172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2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经济分类科目编码</w:t>
            </w:r>
          </w:p>
        </w:tc>
        <w:tc>
          <w:tcPr>
            <w:tcW w:w="43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人员经费</w:t>
            </w:r>
          </w:p>
        </w:tc>
        <w:tc>
          <w:tcPr>
            <w:tcW w:w="214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公用经费</w:t>
            </w:r>
          </w:p>
        </w:tc>
      </w:tr>
      <w:tr>
        <w:tblPrEx>
          <w:tblCellMar>
            <w:top w:w="0" w:type="dxa"/>
            <w:left w:w="108" w:type="dxa"/>
            <w:bottom w:w="0" w:type="dxa"/>
            <w:right w:w="108" w:type="dxa"/>
          </w:tblCellMar>
        </w:tblPrEx>
        <w:trPr>
          <w:cantSplit/>
          <w:trHeight w:val="336" w:hRule="atLeast"/>
          <w:tblHeader/>
        </w:trPr>
        <w:tc>
          <w:tcPr>
            <w:tcW w:w="172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2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43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214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436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54.28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47.70</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6.58</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工资福利支出</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47.58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47.58</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基本工资</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14.10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14.10</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30102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津贴补贴</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15.10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15.10</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30103</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奖金</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8.37</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8.37</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30108</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机关事业单位基本养老保险缴费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4.37</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4.37</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30110</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城镇职工基本医疗保险缴费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1.86</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1.86</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1256"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30111</w:t>
            </w:r>
          </w:p>
        </w:tc>
        <w:tc>
          <w:tcPr>
            <w:tcW w:w="4369"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公务员医疗补助缴费</w:t>
            </w:r>
          </w:p>
        </w:tc>
        <w:tc>
          <w:tcPr>
            <w:tcW w:w="2145"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0.27</w:t>
            </w:r>
          </w:p>
        </w:tc>
        <w:tc>
          <w:tcPr>
            <w:tcW w:w="2145"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0.27</w:t>
            </w:r>
          </w:p>
        </w:tc>
        <w:tc>
          <w:tcPr>
            <w:tcW w:w="2146"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30112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其他社会保障缴费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0.23</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0.23</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30113</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住房公积金</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3.28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3.28</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商品和服务支出</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6.58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6.58</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办公费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1.20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1.20</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30207</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邮电费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1.84</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1.84</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30211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差旅费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0.30</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30228</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工会经费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0.31</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0.31</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30229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福利费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0.35</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0.35</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30239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其他交通费用</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2.58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2.58</w:t>
            </w:r>
          </w:p>
        </w:tc>
      </w:tr>
      <w:tr>
        <w:tblPrEx>
          <w:tblCellMar>
            <w:top w:w="0" w:type="dxa"/>
            <w:left w:w="108" w:type="dxa"/>
            <w:bottom w:w="0" w:type="dxa"/>
            <w:right w:w="108" w:type="dxa"/>
          </w:tblCellMar>
        </w:tblPrEx>
        <w:trPr>
          <w:cantSplit/>
          <w:trHeight w:val="440" w:hRule="atLeast"/>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125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303</w:t>
            </w:r>
          </w:p>
        </w:tc>
        <w:tc>
          <w:tcPr>
            <w:tcW w:w="4369"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对个人和家庭的补助</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19</w:t>
            </w:r>
          </w:p>
        </w:tc>
        <w:tc>
          <w:tcPr>
            <w:tcW w:w="125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30399</w:t>
            </w:r>
          </w:p>
        </w:tc>
        <w:tc>
          <w:tcPr>
            <w:tcW w:w="4369"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其他对个人和家庭的补助</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0.12</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0.12</w:t>
            </w:r>
          </w:p>
        </w:tc>
        <w:tc>
          <w:tcPr>
            <w:tcW w:w="214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bookmarkStart w:id="6" w:name="_Toc62828913"/>
      <w:r>
        <w:rPr>
          <w:rFonts w:hint="eastAsia"/>
        </w:rPr>
        <w:t>部门预算政府基金预算财政拨款支出表</w:t>
      </w:r>
      <w:bookmarkEnd w:id="6"/>
    </w:p>
    <w:tbl>
      <w:tblPr>
        <w:tblStyle w:val="11"/>
        <w:tblW w:w="13466" w:type="dxa"/>
        <w:tblInd w:w="534" w:type="dxa"/>
        <w:tblLayout w:type="autofit"/>
        <w:tblCellMar>
          <w:top w:w="0" w:type="dxa"/>
          <w:left w:w="108" w:type="dxa"/>
          <w:bottom w:w="0" w:type="dxa"/>
          <w:right w:w="108" w:type="dxa"/>
        </w:tblCellMar>
      </w:tblPr>
      <w:tblGrid>
        <w:gridCol w:w="1134"/>
        <w:gridCol w:w="1417"/>
        <w:gridCol w:w="4166"/>
        <w:gridCol w:w="2620"/>
        <w:gridCol w:w="1861"/>
        <w:gridCol w:w="2268"/>
      </w:tblGrid>
      <w:tr>
        <w:tblPrEx>
          <w:tblCellMar>
            <w:top w:w="0" w:type="dxa"/>
            <w:left w:w="108" w:type="dxa"/>
            <w:bottom w:w="0" w:type="dxa"/>
            <w:right w:w="108" w:type="dxa"/>
          </w:tblCellMar>
        </w:tblPrEx>
        <w:trPr>
          <w:trHeight w:val="435" w:hRule="atLeast"/>
        </w:trPr>
        <w:tc>
          <w:tcPr>
            <w:tcW w:w="13466" w:type="dxa"/>
            <w:gridSpan w:val="6"/>
            <w:tcBorders>
              <w:top w:val="nil"/>
              <w:left w:val="nil"/>
              <w:bottom w:val="single" w:color="auto" w:sz="4" w:space="0"/>
              <w:right w:val="nil"/>
            </w:tcBorders>
            <w:shd w:val="clear" w:color="auto" w:fill="auto"/>
            <w:vAlign w:val="center"/>
          </w:tcPr>
          <w:p>
            <w:pPr>
              <w:widowControl/>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eastAsia="方正书宋_GBK"/>
                <w:b/>
                <w:bCs/>
                <w:kern w:val="0"/>
                <w:sz w:val="24"/>
                <w:lang w:eastAsia="zh-CN"/>
              </w:rPr>
              <w:t>预算年度：2022</w:t>
            </w:r>
            <w:r>
              <w:rPr>
                <w:rFonts w:hint="eastAsia"/>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435"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5583"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2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8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trHeight w:val="825"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41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41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2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1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2</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3</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4</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5</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40" w:hRule="atLeast"/>
        </w:trPr>
        <w:tc>
          <w:tcPr>
            <w:tcW w:w="11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12332" w:type="dxa"/>
            <w:gridSpan w:val="5"/>
            <w:tcBorders>
              <w:top w:val="single" w:color="auto" w:sz="4" w:space="0"/>
              <w:left w:val="nil"/>
              <w:bottom w:val="nil"/>
              <w:right w:val="nil"/>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注：无政府基金预算，空表列示。</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bookmarkStart w:id="7" w:name="_Toc62828914"/>
      <w:r>
        <w:rPr>
          <w:rFonts w:hint="eastAsia"/>
        </w:rPr>
        <w:t>部门预算国有资本经营预算财政拨款支出表</w:t>
      </w:r>
      <w:bookmarkEnd w:id="7"/>
    </w:p>
    <w:tbl>
      <w:tblPr>
        <w:tblStyle w:val="11"/>
        <w:tblW w:w="13750" w:type="dxa"/>
        <w:tblInd w:w="250" w:type="dxa"/>
        <w:tblLayout w:type="autofit"/>
        <w:tblCellMar>
          <w:top w:w="0" w:type="dxa"/>
          <w:left w:w="108" w:type="dxa"/>
          <w:bottom w:w="0" w:type="dxa"/>
          <w:right w:w="108" w:type="dxa"/>
        </w:tblCellMar>
      </w:tblPr>
      <w:tblGrid>
        <w:gridCol w:w="1134"/>
        <w:gridCol w:w="1276"/>
        <w:gridCol w:w="2693"/>
        <w:gridCol w:w="3969"/>
        <w:gridCol w:w="2835"/>
        <w:gridCol w:w="1843"/>
      </w:tblGrid>
      <w:tr>
        <w:tblPrEx>
          <w:tblCellMar>
            <w:top w:w="0" w:type="dxa"/>
            <w:left w:w="108" w:type="dxa"/>
            <w:bottom w:w="0" w:type="dxa"/>
            <w:right w:w="108" w:type="dxa"/>
          </w:tblCellMar>
        </w:tblPrEx>
        <w:trPr>
          <w:trHeight w:val="495" w:hRule="atLeast"/>
        </w:trPr>
        <w:tc>
          <w:tcPr>
            <w:tcW w:w="5103" w:type="dxa"/>
            <w:gridSpan w:val="3"/>
            <w:tcBorders>
              <w:top w:val="nil"/>
              <w:left w:val="nil"/>
              <w:bottom w:val="single" w:color="auto" w:sz="4" w:space="0"/>
              <w:right w:val="nil"/>
            </w:tcBorders>
            <w:shd w:val="clear" w:color="auto" w:fill="auto"/>
            <w:vAlign w:val="center"/>
          </w:tcPr>
          <w:p>
            <w:pPr>
              <w:widowControl/>
              <w:jc w:val="left"/>
              <w:rPr>
                <w:rFonts w:hint="eastAsia" w:eastAsia="宋体"/>
                <w:b/>
                <w:bCs/>
                <w:kern w:val="0"/>
                <w:sz w:val="24"/>
                <w:lang w:eastAsia="zh-CN"/>
              </w:rPr>
            </w:pPr>
            <w:r>
              <w:rPr>
                <w:rFonts w:hint="eastAsia"/>
                <w:b/>
                <w:bCs/>
                <w:kern w:val="0"/>
                <w:sz w:val="24"/>
                <w:lang w:eastAsia="zh-CN"/>
              </w:rPr>
              <w:t>225002中共承德市鹰手营子矿区委机构编制委员会办公室</w:t>
            </w:r>
          </w:p>
        </w:tc>
        <w:tc>
          <w:tcPr>
            <w:tcW w:w="3969" w:type="dxa"/>
            <w:tcBorders>
              <w:top w:val="nil"/>
              <w:left w:val="nil"/>
              <w:bottom w:val="nil"/>
              <w:right w:val="nil"/>
            </w:tcBorders>
            <w:shd w:val="clear" w:color="auto" w:fill="auto"/>
            <w:vAlign w:val="center"/>
          </w:tcPr>
          <w:p>
            <w:pPr>
              <w:widowControl/>
              <w:jc w:val="left"/>
              <w:rPr>
                <w:rFonts w:hint="eastAsia" w:eastAsia="宋体"/>
                <w:b/>
                <w:bCs/>
                <w:kern w:val="0"/>
                <w:sz w:val="24"/>
                <w:lang w:eastAsia="zh-CN"/>
              </w:rPr>
            </w:pPr>
            <w:r>
              <w:rPr>
                <w:rFonts w:hint="eastAsia" w:ascii="方正书宋_GBK" w:eastAsia="方正书宋_GBK"/>
                <w:b/>
                <w:bCs/>
                <w:kern w:val="0"/>
                <w:sz w:val="24"/>
                <w:lang w:eastAsia="zh-CN"/>
              </w:rPr>
              <w:t>预算年度：2022</w:t>
            </w:r>
          </w:p>
        </w:tc>
        <w:tc>
          <w:tcPr>
            <w:tcW w:w="2835" w:type="dxa"/>
            <w:tcBorders>
              <w:top w:val="nil"/>
              <w:left w:val="nil"/>
              <w:bottom w:val="nil"/>
              <w:right w:val="nil"/>
            </w:tcBorders>
            <w:shd w:val="clear" w:color="auto" w:fill="auto"/>
            <w:noWrap/>
          </w:tcPr>
          <w:p>
            <w:pPr>
              <w:widowControl/>
              <w:jc w:val="left"/>
              <w:rPr>
                <w:b/>
                <w:bCs/>
                <w:kern w:val="0"/>
                <w:sz w:val="24"/>
              </w:rPr>
            </w:pPr>
          </w:p>
        </w:tc>
        <w:tc>
          <w:tcPr>
            <w:tcW w:w="1843" w:type="dxa"/>
            <w:tcBorders>
              <w:top w:val="nil"/>
              <w:left w:val="nil"/>
              <w:bottom w:val="nil"/>
              <w:right w:val="nil"/>
            </w:tcBorders>
            <w:shd w:val="clear" w:color="auto" w:fill="auto"/>
            <w:vAlign w:val="center"/>
          </w:tcPr>
          <w:p>
            <w:pPr>
              <w:widowControl/>
              <w:jc w:val="right"/>
              <w:rPr>
                <w:b/>
                <w:bCs/>
                <w:kern w:val="0"/>
                <w:sz w:val="24"/>
              </w:rPr>
            </w:pP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54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396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trHeight w:val="929"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26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269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396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283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0" w:hRule="atLeast"/>
        </w:trPr>
        <w:tc>
          <w:tcPr>
            <w:tcW w:w="1134" w:type="dxa"/>
            <w:tcBorders>
              <w:top w:val="nil"/>
              <w:left w:val="nil"/>
              <w:bottom w:val="nil"/>
              <w:right w:val="nil"/>
            </w:tcBorders>
            <w:shd w:val="clear" w:color="auto" w:fill="auto"/>
            <w:noWrap/>
          </w:tcPr>
          <w:p>
            <w:pPr>
              <w:widowControl/>
              <w:jc w:val="center"/>
              <w:rPr>
                <w:rFonts w:ascii="宋体" w:hAnsi="宋体" w:cs="宋体"/>
                <w:kern w:val="0"/>
                <w:sz w:val="18"/>
                <w:szCs w:val="18"/>
              </w:rPr>
            </w:pPr>
          </w:p>
        </w:tc>
        <w:tc>
          <w:tcPr>
            <w:tcW w:w="12616" w:type="dxa"/>
            <w:gridSpan w:val="5"/>
            <w:tcBorders>
              <w:top w:val="single" w:color="auto" w:sz="4" w:space="0"/>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注：无国有资本经营预算，空表列示。</w:t>
            </w:r>
          </w:p>
        </w:tc>
      </w:tr>
    </w:tbl>
    <w:p>
      <w:pPr>
        <w:pStyle w:val="3"/>
        <w:rPr>
          <w:rFonts w:ascii="仿宋_GB2312" w:hAnsi="仿宋_GB2312" w:eastAsia="仿宋_GB2312" w:cs="仿宋_GB2312"/>
          <w:sz w:val="24"/>
          <w:highlight w:val="green"/>
        </w:rPr>
      </w:pPr>
      <w:bookmarkStart w:id="8" w:name="_Toc62828915"/>
      <w:r>
        <w:rPr>
          <w:rFonts w:hint="eastAsia"/>
        </w:rPr>
        <w:t>部门预算财政拨款“三公”经费支出表</w:t>
      </w:r>
      <w:bookmarkEnd w:id="8"/>
    </w:p>
    <w:tbl>
      <w:tblPr>
        <w:tblStyle w:val="11"/>
        <w:tblW w:w="0" w:type="auto"/>
        <w:tblInd w:w="250" w:type="dxa"/>
        <w:tblLayout w:type="fixed"/>
        <w:tblCellMar>
          <w:top w:w="0" w:type="dxa"/>
          <w:left w:w="108" w:type="dxa"/>
          <w:bottom w:w="0" w:type="dxa"/>
          <w:right w:w="108" w:type="dxa"/>
        </w:tblCellMar>
      </w:tblPr>
      <w:tblGrid>
        <w:gridCol w:w="851"/>
        <w:gridCol w:w="3761"/>
        <w:gridCol w:w="1659"/>
        <w:gridCol w:w="203"/>
        <w:gridCol w:w="1862"/>
        <w:gridCol w:w="1113"/>
        <w:gridCol w:w="750"/>
        <w:gridCol w:w="1177"/>
        <w:gridCol w:w="685"/>
        <w:gridCol w:w="1863"/>
      </w:tblGrid>
      <w:tr>
        <w:tblPrEx>
          <w:tblCellMar>
            <w:top w:w="0" w:type="dxa"/>
            <w:left w:w="108" w:type="dxa"/>
            <w:bottom w:w="0" w:type="dxa"/>
            <w:right w:w="108" w:type="dxa"/>
          </w:tblCellMar>
        </w:tblPrEx>
        <w:trPr>
          <w:trHeight w:val="435" w:hRule="atLeast"/>
        </w:trPr>
        <w:tc>
          <w:tcPr>
            <w:tcW w:w="4612" w:type="dxa"/>
            <w:gridSpan w:val="2"/>
            <w:tcBorders>
              <w:top w:val="nil"/>
              <w:left w:val="nil"/>
              <w:bottom w:val="single" w:color="auto" w:sz="4" w:space="0"/>
              <w:right w:val="nil"/>
            </w:tcBorders>
            <w:shd w:val="clear" w:color="auto" w:fill="auto"/>
            <w:vAlign w:val="center"/>
          </w:tcPr>
          <w:p>
            <w:pPr>
              <w:widowControl/>
              <w:jc w:val="left"/>
              <w:rPr>
                <w:rFonts w:hint="eastAsia" w:eastAsia="宋体"/>
                <w:b/>
                <w:bCs/>
                <w:kern w:val="0"/>
                <w:sz w:val="24"/>
                <w:lang w:eastAsia="zh-CN"/>
              </w:rPr>
            </w:pPr>
            <w:r>
              <w:rPr>
                <w:rFonts w:hint="eastAsia"/>
                <w:b/>
                <w:bCs/>
                <w:kern w:val="0"/>
                <w:sz w:val="24"/>
                <w:lang w:eastAsia="zh-CN"/>
              </w:rPr>
              <w:t>225002中共承德市鹰手营子矿区委机构编制委员会办公室</w:t>
            </w:r>
          </w:p>
        </w:tc>
        <w:tc>
          <w:tcPr>
            <w:tcW w:w="1659" w:type="dxa"/>
            <w:tcBorders>
              <w:top w:val="nil"/>
              <w:left w:val="nil"/>
              <w:bottom w:val="single" w:color="auto" w:sz="4" w:space="0"/>
              <w:right w:val="nil"/>
            </w:tcBorders>
            <w:shd w:val="clear" w:color="auto" w:fill="auto"/>
            <w:vAlign w:val="center"/>
          </w:tcPr>
          <w:p>
            <w:pPr>
              <w:widowControl/>
              <w:jc w:val="left"/>
              <w:rPr>
                <w:b/>
                <w:bCs/>
                <w:kern w:val="0"/>
                <w:sz w:val="24"/>
              </w:rPr>
            </w:pPr>
            <w:r>
              <w:rPr>
                <w:b/>
                <w:bCs/>
                <w:kern w:val="0"/>
                <w:sz w:val="24"/>
              </w:rPr>
              <w:t>　</w:t>
            </w:r>
          </w:p>
        </w:tc>
        <w:tc>
          <w:tcPr>
            <w:tcW w:w="3178" w:type="dxa"/>
            <w:gridSpan w:val="3"/>
            <w:tcBorders>
              <w:top w:val="nil"/>
              <w:left w:val="nil"/>
              <w:bottom w:val="nil"/>
              <w:right w:val="nil"/>
            </w:tcBorders>
            <w:shd w:val="clear" w:color="auto" w:fill="auto"/>
            <w:vAlign w:val="center"/>
          </w:tcPr>
          <w:p>
            <w:pPr>
              <w:widowControl/>
              <w:jc w:val="left"/>
              <w:rPr>
                <w:rFonts w:hint="eastAsia" w:eastAsia="宋体"/>
                <w:b/>
                <w:bCs/>
                <w:kern w:val="0"/>
                <w:sz w:val="24"/>
                <w:lang w:eastAsia="zh-CN"/>
              </w:rPr>
            </w:pPr>
            <w:r>
              <w:rPr>
                <w:rFonts w:hint="eastAsia" w:ascii="方正书宋_GBK" w:eastAsia="方正书宋_GBK"/>
                <w:b/>
                <w:bCs/>
                <w:kern w:val="0"/>
                <w:sz w:val="24"/>
                <w:lang w:eastAsia="zh-CN"/>
              </w:rPr>
              <w:t>预算年度：2022</w:t>
            </w:r>
          </w:p>
        </w:tc>
        <w:tc>
          <w:tcPr>
            <w:tcW w:w="1927" w:type="dxa"/>
            <w:gridSpan w:val="2"/>
            <w:tcBorders>
              <w:top w:val="nil"/>
              <w:left w:val="nil"/>
              <w:bottom w:val="nil"/>
              <w:right w:val="nil"/>
            </w:tcBorders>
            <w:shd w:val="clear" w:color="auto" w:fill="auto"/>
            <w:noWrap/>
          </w:tcPr>
          <w:p>
            <w:pPr>
              <w:widowControl/>
              <w:jc w:val="left"/>
              <w:rPr>
                <w:rFonts w:ascii="宋体" w:hAnsi="宋体" w:cs="宋体"/>
                <w:kern w:val="0"/>
                <w:sz w:val="18"/>
                <w:szCs w:val="18"/>
              </w:rPr>
            </w:pPr>
          </w:p>
        </w:tc>
        <w:tc>
          <w:tcPr>
            <w:tcW w:w="2548" w:type="dxa"/>
            <w:gridSpan w:val="2"/>
            <w:tcBorders>
              <w:top w:val="nil"/>
              <w:left w:val="nil"/>
              <w:bottom w:val="single" w:color="auto" w:sz="4" w:space="0"/>
              <w:right w:val="nil"/>
            </w:tcBorders>
            <w:shd w:val="clear" w:color="auto" w:fill="auto"/>
            <w:vAlign w:val="center"/>
          </w:tcPr>
          <w:p>
            <w:pPr>
              <w:widowControl/>
              <w:jc w:val="right"/>
              <w:rPr>
                <w:b/>
                <w:bCs/>
                <w:kern w:val="0"/>
                <w:sz w:val="24"/>
              </w:rPr>
            </w:pP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390"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37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w:t>
            </w:r>
            <w:r>
              <w:rPr>
                <w:rFonts w:ascii="方正书宋_GBK" w:eastAsia="方正书宋_GBK"/>
                <w:b/>
                <w:bCs/>
                <w:kern w:val="0"/>
                <w:szCs w:val="21"/>
              </w:rPr>
              <w:t xml:space="preserve">  </w:t>
            </w:r>
            <w:r>
              <w:rPr>
                <w:rFonts w:hint="eastAsia" w:ascii="方正书宋_GBK" w:eastAsia="方正书宋_GBK"/>
                <w:b/>
                <w:bCs/>
                <w:kern w:val="0"/>
                <w:szCs w:val="21"/>
              </w:rPr>
              <w:t>目</w:t>
            </w:r>
          </w:p>
        </w:tc>
        <w:tc>
          <w:tcPr>
            <w:tcW w:w="9312" w:type="dxa"/>
            <w:gridSpan w:val="8"/>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资金来源</w:t>
            </w:r>
          </w:p>
        </w:tc>
      </w:tr>
      <w:tr>
        <w:tblPrEx>
          <w:tblCellMar>
            <w:top w:w="0" w:type="dxa"/>
            <w:left w:w="108" w:type="dxa"/>
            <w:bottom w:w="0" w:type="dxa"/>
            <w:right w:w="108" w:type="dxa"/>
          </w:tblCellMar>
        </w:tblPrEx>
        <w:trPr>
          <w:trHeight w:val="648"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376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8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一般公共预算</w:t>
            </w:r>
          </w:p>
          <w:p>
            <w:pPr>
              <w:widowControl/>
              <w:adjustRightInd w:val="0"/>
              <w:snapToGrid w:val="0"/>
              <w:ind w:firstLine="315" w:firstLineChars="150"/>
              <w:jc w:val="center"/>
              <w:rPr>
                <w:rFonts w:ascii="方正书宋_GBK" w:eastAsia="方正书宋_GBK"/>
                <w:b/>
                <w:bCs/>
                <w:kern w:val="0"/>
                <w:szCs w:val="21"/>
              </w:rPr>
            </w:pPr>
            <w:r>
              <w:rPr>
                <w:rFonts w:hint="eastAsia" w:ascii="方正书宋_GBK" w:eastAsia="方正书宋_GBK"/>
                <w:b/>
                <w:bCs/>
                <w:kern w:val="0"/>
                <w:szCs w:val="21"/>
              </w:rPr>
              <w:t>财政拨款</w:t>
            </w:r>
          </w:p>
        </w:tc>
        <w:tc>
          <w:tcPr>
            <w:tcW w:w="1863"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政府性基金</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财政拨款</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国有资本经营</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预算财政拨款</w:t>
            </w:r>
          </w:p>
        </w:tc>
        <w:tc>
          <w:tcPr>
            <w:tcW w:w="18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财政专户</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核拨资金</w:t>
            </w:r>
          </w:p>
        </w:tc>
      </w:tr>
      <w:tr>
        <w:tblPrEx>
          <w:tblCellMar>
            <w:top w:w="0" w:type="dxa"/>
            <w:left w:w="108" w:type="dxa"/>
            <w:bottom w:w="0" w:type="dxa"/>
            <w:right w:w="108" w:type="dxa"/>
          </w:tblCellMar>
        </w:tblPrEx>
        <w:trPr>
          <w:trHeight w:val="39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37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8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863"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8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1</w:t>
            </w:r>
          </w:p>
        </w:tc>
        <w:tc>
          <w:tcPr>
            <w:tcW w:w="3761"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b/>
                <w:bCs/>
                <w:kern w:val="0"/>
                <w:sz w:val="24"/>
              </w:rPr>
            </w:pPr>
            <w:r>
              <w:rPr>
                <w:rFonts w:hint="eastAsia" w:ascii="方正仿宋_GBK" w:hAnsi="宋体" w:eastAsia="方正仿宋_GBK" w:cs="宋体"/>
                <w:b/>
                <w:bCs/>
                <w:kern w:val="0"/>
                <w:sz w:val="24"/>
              </w:rPr>
              <w:t>合计</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2</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一、因公出国（境）费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3</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二、公务用车购置及运维费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4</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r>
              <w:rPr>
                <w:rFonts w:hint="eastAsia" w:ascii="方正仿宋_GBK" w:eastAsia="方正仿宋_GBK"/>
                <w:kern w:val="0"/>
                <w:sz w:val="24"/>
              </w:rPr>
              <w:t>其中：公务用车购置费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5</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r>
              <w:rPr>
                <w:rFonts w:hint="eastAsia" w:ascii="方正仿宋_GBK" w:eastAsia="方正仿宋_GBK"/>
                <w:kern w:val="0"/>
                <w:sz w:val="24"/>
              </w:rPr>
              <w:t>公务用车运行费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6</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三、公务接待费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bl>
    <w:p>
      <w:pPr>
        <w:autoSpaceDE w:val="0"/>
        <w:autoSpaceDN w:val="0"/>
        <w:adjustRightInd w:val="0"/>
        <w:ind w:firstLine="36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kern w:val="0"/>
          <w:sz w:val="18"/>
          <w:szCs w:val="18"/>
        </w:rPr>
        <w:t>注：无</w:t>
      </w:r>
      <w:r>
        <w:rPr>
          <w:rFonts w:hint="eastAsia" w:ascii="宋体" w:hAnsi="宋体" w:cs="宋体"/>
          <w:kern w:val="0"/>
          <w:sz w:val="18"/>
          <w:szCs w:val="18"/>
          <w:lang w:eastAsia="zh-CN"/>
        </w:rPr>
        <w:t>“</w:t>
      </w:r>
      <w:r>
        <w:rPr>
          <w:rFonts w:hint="eastAsia" w:ascii="宋体" w:hAnsi="宋体" w:cs="宋体"/>
          <w:kern w:val="0"/>
          <w:sz w:val="18"/>
          <w:szCs w:val="18"/>
          <w:lang w:val="en-US" w:eastAsia="zh-CN"/>
        </w:rPr>
        <w:t>三公</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经费</w:t>
      </w:r>
      <w:r>
        <w:rPr>
          <w:rFonts w:hint="eastAsia" w:ascii="宋体" w:hAnsi="宋体" w:cs="宋体"/>
          <w:kern w:val="0"/>
          <w:sz w:val="18"/>
          <w:szCs w:val="18"/>
        </w:rPr>
        <w:t>预算，空表列示。</w:t>
      </w:r>
    </w:p>
    <w:p>
      <w:pPr>
        <w:jc w:val="center"/>
        <w:rPr>
          <w:rFonts w:hint="eastAsia" w:eastAsia="方正小标宋_GBK"/>
          <w:bCs/>
          <w:kern w:val="44"/>
          <w:sz w:val="44"/>
          <w:szCs w:val="44"/>
          <w:lang w:val="en-US" w:eastAsia="zh-CN"/>
        </w:rPr>
      </w:pPr>
      <w:r>
        <w:rPr>
          <w:rFonts w:hint="eastAsia" w:eastAsia="方正小标宋_GBK"/>
          <w:bCs/>
          <w:kern w:val="44"/>
          <w:sz w:val="44"/>
          <w:szCs w:val="44"/>
          <w:lang w:val="en-US" w:eastAsia="zh-CN"/>
        </w:rPr>
        <w:t>中共承德市鹰手营子矿区委机构编制委员会办公室</w:t>
      </w:r>
    </w:p>
    <w:p>
      <w:pPr>
        <w:jc w:val="center"/>
        <w:rPr>
          <w:rFonts w:eastAsia="方正小标宋_GBK"/>
          <w:bCs/>
          <w:kern w:val="44"/>
          <w:sz w:val="44"/>
          <w:szCs w:val="44"/>
        </w:rPr>
      </w:pPr>
      <w:r>
        <w:rPr>
          <w:rFonts w:eastAsia="方正小标宋_GBK"/>
          <w:bCs/>
          <w:kern w:val="44"/>
          <w:sz w:val="44"/>
          <w:szCs w:val="44"/>
        </w:rPr>
        <w:t>20</w:t>
      </w:r>
      <w:r>
        <w:rPr>
          <w:rFonts w:hint="eastAsia" w:eastAsia="方正小标宋_GBK"/>
          <w:bCs/>
          <w:kern w:val="44"/>
          <w:sz w:val="44"/>
          <w:szCs w:val="44"/>
          <w:lang w:val="en-US" w:eastAsia="zh-CN"/>
        </w:rPr>
        <w:t>22</w:t>
      </w:r>
      <w:r>
        <w:rPr>
          <w:rFonts w:eastAsia="方正小标宋_GBK"/>
          <w:bCs/>
          <w:kern w:val="44"/>
          <w:sz w:val="44"/>
          <w:szCs w:val="44"/>
        </w:rPr>
        <w:t>年部门预算信息公开</w:t>
      </w:r>
      <w:r>
        <w:rPr>
          <w:rFonts w:hint="eastAsia" w:eastAsia="方正小标宋_GBK"/>
          <w:bCs/>
          <w:kern w:val="44"/>
          <w:sz w:val="44"/>
          <w:szCs w:val="44"/>
        </w:rPr>
        <w:t>情况说明</w:t>
      </w:r>
    </w:p>
    <w:p>
      <w:pPr>
        <w:spacing w:line="500" w:lineRule="exact"/>
        <w:ind w:firstLine="560" w:firstLineChars="200"/>
        <w:jc w:val="left"/>
        <w:rPr>
          <w:rFonts w:eastAsia="方正仿宋_GBK"/>
          <w:sz w:val="28"/>
        </w:rPr>
      </w:pPr>
      <w:r>
        <w:rPr>
          <w:rFonts w:eastAsia="方正仿宋_GBK"/>
          <w:sz w:val="28"/>
        </w:rPr>
        <w:t>按照</w:t>
      </w:r>
      <w:r>
        <w:rPr>
          <w:rFonts w:hint="eastAsia" w:eastAsia="方正仿宋_GBK"/>
          <w:sz w:val="28"/>
        </w:rPr>
        <w:t>《预算法》、</w:t>
      </w:r>
      <w:r>
        <w:rPr>
          <w:rFonts w:eastAsia="方正仿宋_GBK"/>
          <w:sz w:val="28"/>
        </w:rPr>
        <w:t>《地方预决算公开操作规程》和《河北省省级预算公开办法》</w:t>
      </w:r>
      <w:r>
        <w:rPr>
          <w:rFonts w:hint="eastAsia" w:eastAsia="方正仿宋_GBK"/>
          <w:sz w:val="28"/>
        </w:rPr>
        <w:t>规定</w:t>
      </w:r>
      <w:r>
        <w:rPr>
          <w:rFonts w:eastAsia="方正仿宋_GBK"/>
          <w:sz w:val="28"/>
        </w:rPr>
        <w:t>，现将</w:t>
      </w:r>
      <w:r>
        <w:rPr>
          <w:rFonts w:hint="eastAsia" w:eastAsia="方正仿宋_GBK"/>
          <w:sz w:val="28"/>
          <w:lang w:val="en-US" w:eastAsia="zh-CN"/>
        </w:rPr>
        <w:t>中共承德市鹰手营子矿区委机构编制委员会办公室2022</w:t>
      </w:r>
      <w:r>
        <w:rPr>
          <w:rFonts w:eastAsia="方正仿宋_GBK"/>
          <w:sz w:val="28"/>
        </w:rPr>
        <w:t>年部门预算公开如下：</w:t>
      </w:r>
    </w:p>
    <w:p>
      <w:pPr>
        <w:pStyle w:val="3"/>
        <w:ind w:firstLine="640" w:firstLineChars="200"/>
        <w:jc w:val="left"/>
        <w:rPr>
          <w:rFonts w:ascii="方正黑体_GBK" w:eastAsia="方正黑体_GBK"/>
          <w:sz w:val="32"/>
        </w:rPr>
      </w:pPr>
      <w:bookmarkStart w:id="9" w:name="_Toc62828917"/>
      <w:r>
        <w:rPr>
          <w:rFonts w:hint="eastAsia" w:ascii="方正黑体_GBK" w:eastAsia="方正黑体_GBK"/>
          <w:sz w:val="32"/>
        </w:rPr>
        <w:t>一、部门职责及机构设置情况</w:t>
      </w:r>
      <w:bookmarkEnd w:id="9"/>
    </w:p>
    <w:p>
      <w:pPr>
        <w:ind w:firstLine="640" w:firstLineChars="200"/>
        <w:rPr>
          <w:rFonts w:ascii="方正楷体_GBK" w:eastAsia="方正楷体_GBK"/>
          <w:b/>
          <w:sz w:val="32"/>
          <w:szCs w:val="32"/>
        </w:rPr>
      </w:pPr>
      <w:r>
        <w:rPr>
          <w:rFonts w:hint="eastAsia" w:ascii="方正楷体_GBK" w:eastAsia="方正楷体_GBK"/>
          <w:b/>
          <w:sz w:val="32"/>
          <w:szCs w:val="32"/>
        </w:rPr>
        <w:t xml:space="preserve">部门职责： </w:t>
      </w:r>
    </w:p>
    <w:p>
      <w:pPr>
        <w:spacing w:line="500" w:lineRule="exact"/>
        <w:ind w:firstLine="560" w:firstLineChars="200"/>
        <w:jc w:val="left"/>
        <w:rPr>
          <w:rFonts w:eastAsia="方正仿宋_GBK"/>
          <w:sz w:val="28"/>
        </w:rPr>
      </w:pPr>
      <w:r>
        <w:rPr>
          <w:rFonts w:hint="eastAsia" w:eastAsia="方正仿宋_GBK"/>
          <w:sz w:val="28"/>
          <w:lang w:val="en-US" w:eastAsia="zh-CN"/>
        </w:rPr>
        <w:t>1.</w:t>
      </w:r>
      <w:r>
        <w:rPr>
          <w:rFonts w:hint="eastAsia" w:eastAsia="方正仿宋_GBK"/>
          <w:sz w:val="28"/>
        </w:rPr>
        <w:t>贯彻落实党中央和省委、市委、区委关于行政管理体制和机构改革以及机构编制管理的政策法规,组织拟订相关政策规定并监督实施。管理和指导各级党委、人大、政府、政协、监察委机关,各民主党派、人民团体机关以及全区事业单位的机构编制工作。</w:t>
      </w:r>
    </w:p>
    <w:p>
      <w:pPr>
        <w:spacing w:line="500" w:lineRule="exact"/>
        <w:ind w:firstLine="560" w:firstLineChars="200"/>
        <w:jc w:val="left"/>
        <w:rPr>
          <w:rFonts w:eastAsia="方正仿宋_GBK"/>
          <w:sz w:val="28"/>
        </w:rPr>
      </w:pPr>
      <w:r>
        <w:rPr>
          <w:rFonts w:hint="eastAsia" w:eastAsia="方正仿宋_GBK"/>
          <w:sz w:val="28"/>
          <w:lang w:val="en-US" w:eastAsia="zh-CN"/>
        </w:rPr>
        <w:t>2.</w:t>
      </w:r>
      <w:r>
        <w:rPr>
          <w:rFonts w:hint="eastAsia" w:eastAsia="方正仿宋_GBK"/>
          <w:sz w:val="28"/>
        </w:rPr>
        <w:t>组织拟订全区行政管理体制改革和区委、区政府机构改革方案并组织实施。负责行政执法体制改革工作。</w:t>
      </w:r>
    </w:p>
    <w:p>
      <w:pPr>
        <w:spacing w:line="500" w:lineRule="exact"/>
        <w:ind w:firstLine="560" w:firstLineChars="200"/>
        <w:jc w:val="left"/>
        <w:rPr>
          <w:rFonts w:hint="eastAsia" w:eastAsia="方正仿宋_GBK"/>
          <w:sz w:val="28"/>
        </w:rPr>
      </w:pPr>
      <w:r>
        <w:rPr>
          <w:rFonts w:hint="eastAsia" w:eastAsia="方正仿宋_GBK"/>
          <w:sz w:val="28"/>
          <w:lang w:val="en-US" w:eastAsia="zh-CN"/>
        </w:rPr>
        <w:t>3.</w:t>
      </w:r>
      <w:r>
        <w:rPr>
          <w:rFonts w:hint="eastAsia" w:eastAsia="方正仿宋_GBK"/>
          <w:sz w:val="28"/>
        </w:rPr>
        <w:t>协调区委、区政府各部门的职能配置及其调整。协调区委、区政府部门之间以及区直部门与各镇之间的职责分工。</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4.</w:t>
      </w:r>
      <w:r>
        <w:rPr>
          <w:rFonts w:hint="eastAsia" w:eastAsia="方正仿宋_GBK"/>
          <w:sz w:val="28"/>
        </w:rPr>
        <w:t>审核或审批区委、区政府各部门及各部门派出机构的职能配置、机构设置、人员编制和领导职数;审核区人大、区政协、区监察委和区级各民主党派、人民团体机关的职能配置、机构设置、人员编制和领导职数。</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5.</w:t>
      </w:r>
      <w:r>
        <w:rPr>
          <w:rFonts w:hint="eastAsia" w:eastAsia="方正仿宋_GBK"/>
          <w:sz w:val="28"/>
        </w:rPr>
        <w:t>负责需要承办的中央和国家机关、省委和省政府、市委和市政府垂直管理部门或双重管理部门(单位)机构编制有关事宜。</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6</w:t>
      </w:r>
      <w:r>
        <w:rPr>
          <w:rFonts w:hint="eastAsia" w:eastAsia="方正仿宋_GBK"/>
          <w:sz w:val="28"/>
        </w:rPr>
        <w:t>.组织拟订全区事业单位管理体制和机构改革方案。负责落实各类事业单位人员编制标准和管理办法，负责推进事业单位机构编制标准体系建设；审核或审批全区事业单位的机构编制事宜；负责全区党政群机关统一社会信用代码赋码管理工作，负责全区事业单位法人登记管理和监督检查工作。</w:t>
      </w:r>
    </w:p>
    <w:p>
      <w:pPr>
        <w:autoSpaceDE w:val="0"/>
        <w:autoSpaceDN w:val="0"/>
        <w:adjustRightInd w:val="0"/>
        <w:ind w:firstLine="560" w:firstLineChars="200"/>
        <w:jc w:val="left"/>
        <w:rPr>
          <w:rFonts w:hint="eastAsia" w:eastAsia="方正仿宋_GBK"/>
          <w:sz w:val="28"/>
        </w:rPr>
      </w:pPr>
      <w:r>
        <w:rPr>
          <w:rFonts w:hint="eastAsia" w:eastAsia="方正仿宋_GBK"/>
          <w:sz w:val="28"/>
        </w:rPr>
        <w:t>7.指导全区开发区(园区)行政管理体制改革工作。组织落实区级以上开发区(园区)机构编制管理办法,审核区级以上开发区(园区)职能配置、机构设置、人员编制和领导职数。</w:t>
      </w:r>
    </w:p>
    <w:p>
      <w:pPr>
        <w:autoSpaceDE w:val="0"/>
        <w:autoSpaceDN w:val="0"/>
        <w:adjustRightInd w:val="0"/>
        <w:ind w:firstLine="560" w:firstLineChars="200"/>
        <w:jc w:val="left"/>
        <w:rPr>
          <w:rFonts w:hint="eastAsia" w:eastAsia="方正仿宋_GBK"/>
          <w:sz w:val="28"/>
        </w:rPr>
      </w:pPr>
      <w:r>
        <w:rPr>
          <w:rFonts w:hint="eastAsia" w:eastAsia="方正仿宋_GBK"/>
          <w:sz w:val="28"/>
        </w:rPr>
        <w:t>8.负责全区机构编制的总量控制和动态管理。负责机构编制实名制工作;负责全区机关事业单位编制使用核准。</w:t>
      </w:r>
    </w:p>
    <w:p>
      <w:pPr>
        <w:autoSpaceDE w:val="0"/>
        <w:autoSpaceDN w:val="0"/>
        <w:adjustRightInd w:val="0"/>
        <w:ind w:firstLine="560" w:firstLineChars="200"/>
        <w:jc w:val="left"/>
        <w:rPr>
          <w:rFonts w:hint="eastAsia" w:eastAsia="方正仿宋_GBK"/>
          <w:sz w:val="28"/>
        </w:rPr>
      </w:pPr>
      <w:r>
        <w:rPr>
          <w:rFonts w:hint="eastAsia" w:eastAsia="方正仿宋_GBK"/>
          <w:sz w:val="28"/>
        </w:rPr>
        <w:t>9.负责对全区行政、事业单位管理体制和机构改革及机构编制执行情况的跟踪评估和监督检查。负责受理违反机构编制法规、纪律的检举、控告和投诉,对违反机构编制法规、纪律问题进行调查处理。</w:t>
      </w:r>
    </w:p>
    <w:p>
      <w:pPr>
        <w:autoSpaceDE w:val="0"/>
        <w:autoSpaceDN w:val="0"/>
        <w:adjustRightInd w:val="0"/>
        <w:ind w:firstLine="560" w:firstLineChars="200"/>
        <w:jc w:val="left"/>
        <w:rPr>
          <w:rFonts w:hint="eastAsia" w:eastAsia="方正仿宋_GBK"/>
          <w:sz w:val="28"/>
        </w:rPr>
      </w:pPr>
      <w:r>
        <w:rPr>
          <w:rFonts w:hint="eastAsia" w:eastAsia="方正仿宋_GBK"/>
          <w:sz w:val="28"/>
        </w:rPr>
        <w:t>10.负责全区机构编制电子政务和信息化工作。负责全区机构编制统计工作；负责机构编制网站的建设管理以及网络安全工作；指导全区党政群机关、事业单位和其他非营利性单位网上名称管理工作。</w:t>
      </w:r>
    </w:p>
    <w:p>
      <w:pPr>
        <w:autoSpaceDE w:val="0"/>
        <w:autoSpaceDN w:val="0"/>
        <w:adjustRightInd w:val="0"/>
        <w:ind w:firstLine="560" w:firstLineChars="200"/>
        <w:jc w:val="left"/>
        <w:rPr>
          <w:rFonts w:hint="eastAsia" w:eastAsia="方正仿宋_GBK"/>
          <w:sz w:val="28"/>
        </w:rPr>
      </w:pPr>
      <w:r>
        <w:rPr>
          <w:rFonts w:hint="eastAsia" w:eastAsia="方正仿宋_GBK"/>
          <w:sz w:val="28"/>
        </w:rPr>
        <w:t>11.组织开展行政体制改革及机构编制管理创新基础性和前瞻性研究。</w:t>
      </w:r>
    </w:p>
    <w:p>
      <w:pPr>
        <w:autoSpaceDE w:val="0"/>
        <w:autoSpaceDN w:val="0"/>
        <w:adjustRightInd w:val="0"/>
        <w:ind w:firstLine="560" w:firstLineChars="200"/>
        <w:jc w:val="left"/>
        <w:rPr>
          <w:rFonts w:hint="eastAsia" w:eastAsia="方正仿宋_GBK"/>
          <w:sz w:val="28"/>
        </w:rPr>
      </w:pPr>
      <w:r>
        <w:rPr>
          <w:rFonts w:hint="eastAsia" w:eastAsia="方正仿宋_GBK"/>
          <w:sz w:val="28"/>
        </w:rPr>
        <w:t>12.完成区委、区政府和区委机构编制委员会交办的其他任务。</w:t>
      </w:r>
    </w:p>
    <w:p>
      <w:pPr>
        <w:autoSpaceDE w:val="0"/>
        <w:autoSpaceDN w:val="0"/>
        <w:adjustRightInd w:val="0"/>
        <w:ind w:firstLine="640" w:firstLineChars="200"/>
        <w:jc w:val="left"/>
        <w:rPr>
          <w:rFonts w:ascii="方正仿宋_GBK" w:eastAsia="方正仿宋_GBK"/>
          <w:b/>
          <w:sz w:val="32"/>
          <w:szCs w:val="32"/>
        </w:rPr>
      </w:pPr>
    </w:p>
    <w:p>
      <w:pPr>
        <w:autoSpaceDE w:val="0"/>
        <w:autoSpaceDN w:val="0"/>
        <w:adjustRightInd w:val="0"/>
        <w:ind w:firstLine="640" w:firstLineChars="200"/>
        <w:jc w:val="left"/>
        <w:rPr>
          <w:rFonts w:ascii="方正楷体_GBK" w:eastAsia="方正楷体_GBK"/>
          <w:b/>
          <w:sz w:val="32"/>
          <w:szCs w:val="32"/>
        </w:rPr>
      </w:pPr>
      <w:r>
        <w:rPr>
          <w:rFonts w:hint="eastAsia" w:ascii="方正楷体_GBK" w:eastAsia="方正楷体_GBK"/>
          <w:b/>
          <w:sz w:val="32"/>
          <w:szCs w:val="32"/>
        </w:rPr>
        <w:t xml:space="preserve">机构设置： </w:t>
      </w:r>
    </w:p>
    <w:p>
      <w:pPr>
        <w:jc w:val="center"/>
        <w:rPr>
          <w:rFonts w:ascii="方正小标宋_GBK" w:eastAsia="方正小标宋_GBK"/>
          <w:sz w:val="32"/>
          <w:szCs w:val="32"/>
        </w:rPr>
      </w:pPr>
      <w:r>
        <w:rPr>
          <w:rFonts w:hint="eastAsia" w:ascii="方正小标宋_GBK" w:eastAsia="方正小标宋_GBK"/>
          <w:sz w:val="32"/>
          <w:szCs w:val="32"/>
        </w:rPr>
        <w:t>部门机构设置情况</w:t>
      </w:r>
    </w:p>
    <w:tbl>
      <w:tblPr>
        <w:tblStyle w:val="11"/>
        <w:tblW w:w="136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0"/>
        <w:gridCol w:w="1849"/>
        <w:gridCol w:w="2091"/>
        <w:gridCol w:w="4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670"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单位名称</w:t>
            </w:r>
          </w:p>
        </w:tc>
        <w:tc>
          <w:tcPr>
            <w:tcW w:w="1849"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单位性质</w:t>
            </w:r>
          </w:p>
        </w:tc>
        <w:tc>
          <w:tcPr>
            <w:tcW w:w="2091"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单位规格</w:t>
            </w:r>
          </w:p>
        </w:tc>
        <w:tc>
          <w:tcPr>
            <w:tcW w:w="4005"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670" w:type="dxa"/>
            <w:vMerge w:val="continue"/>
            <w:shd w:val="clear" w:color="auto" w:fill="auto"/>
            <w:vAlign w:val="center"/>
          </w:tcPr>
          <w:p>
            <w:pPr>
              <w:spacing w:line="300" w:lineRule="exact"/>
              <w:jc w:val="left"/>
              <w:outlineLvl w:val="0"/>
              <w:rPr>
                <w:sz w:val="24"/>
              </w:rPr>
            </w:pPr>
          </w:p>
        </w:tc>
        <w:tc>
          <w:tcPr>
            <w:tcW w:w="1849" w:type="dxa"/>
            <w:vMerge w:val="continue"/>
            <w:shd w:val="clear" w:color="auto" w:fill="auto"/>
            <w:vAlign w:val="center"/>
          </w:tcPr>
          <w:p>
            <w:pPr>
              <w:spacing w:line="300" w:lineRule="exact"/>
              <w:jc w:val="left"/>
              <w:outlineLvl w:val="0"/>
              <w:rPr>
                <w:sz w:val="24"/>
              </w:rPr>
            </w:pPr>
          </w:p>
        </w:tc>
        <w:tc>
          <w:tcPr>
            <w:tcW w:w="2091" w:type="dxa"/>
            <w:vMerge w:val="continue"/>
            <w:shd w:val="clear" w:color="auto" w:fill="auto"/>
            <w:vAlign w:val="center"/>
          </w:tcPr>
          <w:p>
            <w:pPr>
              <w:spacing w:line="300" w:lineRule="exact"/>
              <w:jc w:val="left"/>
              <w:outlineLvl w:val="0"/>
              <w:rPr>
                <w:sz w:val="24"/>
              </w:rPr>
            </w:pPr>
          </w:p>
        </w:tc>
        <w:tc>
          <w:tcPr>
            <w:tcW w:w="4005" w:type="dxa"/>
            <w:vMerge w:val="continue"/>
            <w:shd w:val="clear" w:color="auto" w:fill="auto"/>
            <w:vAlign w:val="center"/>
          </w:tcPr>
          <w:p>
            <w:pPr>
              <w:spacing w:line="300" w:lineRule="exact"/>
              <w:jc w:val="left"/>
              <w:outlineLvl w:val="0"/>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670" w:type="dxa"/>
            <w:shd w:val="clear" w:color="auto" w:fill="auto"/>
            <w:vAlign w:val="center"/>
          </w:tcPr>
          <w:p>
            <w:pPr>
              <w:spacing w:line="300" w:lineRule="exact"/>
              <w:jc w:val="left"/>
              <w:rPr>
                <w:rFonts w:hint="eastAsia" w:ascii="方正书宋_GBK" w:eastAsia="方正书宋_GBK"/>
                <w:szCs w:val="21"/>
                <w:lang w:eastAsia="zh-CN"/>
              </w:rPr>
            </w:pPr>
            <w:r>
              <w:rPr>
                <w:rFonts w:hint="eastAsia" w:ascii="方正书宋_GBK" w:eastAsia="方正书宋_GBK"/>
                <w:szCs w:val="21"/>
                <w:lang w:val="en-US" w:eastAsia="zh-CN"/>
              </w:rPr>
              <w:t>中共承德市鹰手营子矿区委机构编制委员会办公室</w:t>
            </w:r>
          </w:p>
        </w:tc>
        <w:tc>
          <w:tcPr>
            <w:tcW w:w="184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行政</w:t>
            </w:r>
          </w:p>
        </w:tc>
        <w:tc>
          <w:tcPr>
            <w:tcW w:w="209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正科</w:t>
            </w:r>
            <w:r>
              <w:rPr>
                <w:rFonts w:hint="eastAsia" w:ascii="方正书宋_GBK" w:eastAsia="方正书宋_GBK"/>
                <w:szCs w:val="21"/>
              </w:rPr>
              <w:t>级</w:t>
            </w:r>
          </w:p>
        </w:tc>
        <w:tc>
          <w:tcPr>
            <w:tcW w:w="400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670"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承德市鹰手营子矿区机构编制电子政务中心</w:t>
            </w:r>
          </w:p>
        </w:tc>
        <w:tc>
          <w:tcPr>
            <w:tcW w:w="184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事业</w:t>
            </w:r>
          </w:p>
        </w:tc>
        <w:tc>
          <w:tcPr>
            <w:tcW w:w="209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股</w:t>
            </w:r>
            <w:r>
              <w:rPr>
                <w:rFonts w:hint="eastAsia" w:ascii="方正书宋_GBK" w:eastAsia="方正书宋_GBK"/>
                <w:szCs w:val="21"/>
              </w:rPr>
              <w:t>级</w:t>
            </w:r>
          </w:p>
        </w:tc>
        <w:tc>
          <w:tcPr>
            <w:tcW w:w="400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财政性资金基本保证</w:t>
            </w:r>
          </w:p>
        </w:tc>
      </w:tr>
    </w:tbl>
    <w:p>
      <w:pPr>
        <w:ind w:firstLine="640" w:firstLineChars="200"/>
        <w:rPr>
          <w:rFonts w:ascii="黑体" w:hAnsi="黑体" w:eastAsia="黑体"/>
          <w:sz w:val="32"/>
          <w:szCs w:val="32"/>
          <w:highlight w:val="yellow"/>
        </w:rPr>
      </w:pPr>
    </w:p>
    <w:p>
      <w:pPr>
        <w:pStyle w:val="3"/>
        <w:ind w:firstLine="640" w:firstLineChars="200"/>
        <w:jc w:val="left"/>
        <w:rPr>
          <w:rFonts w:ascii="黑体" w:hAnsi="黑体" w:eastAsia="黑体"/>
          <w:sz w:val="32"/>
        </w:rPr>
      </w:pPr>
      <w:bookmarkStart w:id="10" w:name="_Toc62828918"/>
      <w:r>
        <w:rPr>
          <w:rFonts w:hint="eastAsia" w:ascii="方正黑体_GBK" w:eastAsia="方正黑体_GBK"/>
          <w:sz w:val="32"/>
        </w:rPr>
        <w:t>二、部门预算安排的总体情况</w:t>
      </w:r>
      <w:bookmarkEnd w:id="10"/>
    </w:p>
    <w:p>
      <w:pPr>
        <w:spacing w:line="500" w:lineRule="exact"/>
        <w:ind w:firstLine="560" w:firstLineChars="200"/>
        <w:jc w:val="left"/>
        <w:rPr>
          <w:rFonts w:hint="eastAsia" w:eastAsia="方正仿宋_GBK"/>
          <w:sz w:val="28"/>
        </w:rPr>
      </w:pPr>
      <w:r>
        <w:rPr>
          <w:rFonts w:eastAsia="方正仿宋_GBK"/>
          <w:sz w:val="28"/>
        </w:rPr>
        <w:t>按照预算管理有关规定，目前我省部门预算的编制实行综合预算</w:t>
      </w:r>
      <w:r>
        <w:rPr>
          <w:rFonts w:hint="eastAsia" w:eastAsia="方正仿宋_GBK"/>
          <w:sz w:val="28"/>
        </w:rPr>
        <w:t>管理</w:t>
      </w:r>
      <w:r>
        <w:rPr>
          <w:rFonts w:eastAsia="方正仿宋_GBK"/>
          <w:sz w:val="28"/>
        </w:rPr>
        <w:t>，即全部收入和支出都反映</w:t>
      </w:r>
      <w:r>
        <w:rPr>
          <w:rFonts w:hint="eastAsia" w:eastAsia="方正仿宋_GBK"/>
          <w:sz w:val="28"/>
        </w:rPr>
        <w:t>在</w:t>
      </w:r>
      <w:r>
        <w:rPr>
          <w:rFonts w:eastAsia="方正仿宋_GBK"/>
          <w:sz w:val="28"/>
        </w:rPr>
        <w:t>预算中。</w:t>
      </w:r>
      <w:r>
        <w:rPr>
          <w:rFonts w:hint="eastAsia" w:eastAsia="方正仿宋_GBK"/>
          <w:sz w:val="28"/>
          <w:lang w:val="en-US" w:eastAsia="zh-CN"/>
        </w:rPr>
        <w:t>中共承德市鹰手营子矿区委机构编制委员会办公室</w:t>
      </w:r>
      <w:r>
        <w:rPr>
          <w:rFonts w:hint="eastAsia" w:eastAsia="方正仿宋_GBK"/>
          <w:sz w:val="28"/>
        </w:rPr>
        <w:t>及所属事业单位的收支包含在部门预算中。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w:t>
      </w:r>
      <w:r>
        <w:rPr>
          <w:rFonts w:hint="eastAsia" w:eastAsia="方正仿宋_GBK"/>
          <w:sz w:val="28"/>
          <w:lang w:val="en-US" w:eastAsia="zh-CN"/>
        </w:rPr>
        <w:t>中共承德市鹰手营子矿区委机构编制委员会办公室</w:t>
      </w:r>
      <w:r>
        <w:rPr>
          <w:rFonts w:eastAsia="方正仿宋_GBK"/>
          <w:sz w:val="28"/>
        </w:rPr>
        <w:t>当年全部收入。20</w:t>
      </w:r>
      <w:r>
        <w:rPr>
          <w:rFonts w:hint="eastAsia" w:eastAsia="方正仿宋_GBK"/>
          <w:sz w:val="28"/>
        </w:rPr>
        <w:t>2</w:t>
      </w:r>
      <w:r>
        <w:rPr>
          <w:rFonts w:hint="eastAsia" w:eastAsia="方正仿宋_GBK"/>
          <w:sz w:val="28"/>
          <w:lang w:val="en-US" w:eastAsia="zh-CN"/>
        </w:rPr>
        <w:t>2</w:t>
      </w:r>
      <w:r>
        <w:rPr>
          <w:rFonts w:eastAsia="方正仿宋_GBK"/>
          <w:sz w:val="28"/>
        </w:rPr>
        <w:t>年预算收入</w:t>
      </w:r>
      <w:r>
        <w:rPr>
          <w:rFonts w:hint="eastAsia" w:eastAsia="方正仿宋_GBK"/>
          <w:sz w:val="28"/>
          <w:lang w:val="en-US" w:eastAsia="zh-CN"/>
        </w:rPr>
        <w:t>60.20</w:t>
      </w:r>
      <w:r>
        <w:rPr>
          <w:rFonts w:eastAsia="方正仿宋_GBK"/>
          <w:sz w:val="28"/>
        </w:rPr>
        <w:t>万元，其中：一般公共预算收入</w:t>
      </w:r>
      <w:r>
        <w:rPr>
          <w:rFonts w:hint="eastAsia" w:eastAsia="方正仿宋_GBK"/>
          <w:sz w:val="28"/>
          <w:lang w:val="en-US" w:eastAsia="zh-CN"/>
        </w:rPr>
        <w:t>60.20</w:t>
      </w:r>
      <w:r>
        <w:rPr>
          <w:rFonts w:eastAsia="方正仿宋_GBK"/>
          <w:sz w:val="28"/>
        </w:rPr>
        <w:t>万元，</w:t>
      </w:r>
      <w:r>
        <w:rPr>
          <w:rFonts w:hint="eastAsia" w:eastAsia="方正仿宋_GBK"/>
          <w:sz w:val="28"/>
        </w:rPr>
        <w:t>基金预算</w:t>
      </w:r>
      <w:r>
        <w:rPr>
          <w:rFonts w:eastAsia="方正仿宋_GBK"/>
          <w:sz w:val="28"/>
        </w:rPr>
        <w:t>收入</w:t>
      </w:r>
      <w:r>
        <w:rPr>
          <w:rFonts w:hint="eastAsia" w:eastAsia="方正仿宋_GBK"/>
          <w:sz w:val="28"/>
          <w:lang w:val="en-US" w:eastAsia="zh-CN"/>
        </w:rPr>
        <w:t>0</w:t>
      </w:r>
      <w:r>
        <w:rPr>
          <w:rFonts w:eastAsia="方正仿宋_GBK"/>
          <w:sz w:val="28"/>
        </w:rPr>
        <w:t>万元，</w:t>
      </w:r>
      <w:r>
        <w:rPr>
          <w:rFonts w:hint="eastAsia" w:eastAsia="方正仿宋_GBK"/>
          <w:sz w:val="28"/>
        </w:rPr>
        <w:t>财政专户核拨收入</w:t>
      </w:r>
      <w:r>
        <w:rPr>
          <w:rFonts w:hint="eastAsia" w:eastAsia="方正仿宋_GBK"/>
          <w:sz w:val="28"/>
          <w:lang w:val="en-US" w:eastAsia="zh-CN"/>
        </w:rPr>
        <w:t>0</w:t>
      </w:r>
      <w:r>
        <w:rPr>
          <w:rFonts w:eastAsia="方正仿宋_GBK"/>
          <w:sz w:val="28"/>
        </w:rPr>
        <w:t>万元</w:t>
      </w:r>
      <w:r>
        <w:rPr>
          <w:rFonts w:hint="eastAsia" w:eastAsia="方正仿宋_GBK"/>
          <w:sz w:val="28"/>
        </w:rPr>
        <w:t>，其他来源收入</w:t>
      </w:r>
      <w:r>
        <w:rPr>
          <w:rFonts w:hint="eastAsia" w:eastAsia="方正仿宋_GBK"/>
          <w:sz w:val="28"/>
          <w:lang w:val="en-US" w:eastAsia="zh-CN"/>
        </w:rPr>
        <w:t>0</w:t>
      </w:r>
      <w:r>
        <w:rPr>
          <w:rFonts w:hint="eastAsia" w:eastAsia="方正仿宋_GBK"/>
          <w:sz w:val="28"/>
        </w:rPr>
        <w:t>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hint="eastAsia" w:eastAsia="方正仿宋_GBK"/>
          <w:sz w:val="28"/>
        </w:rPr>
      </w:pPr>
      <w:r>
        <w:rPr>
          <w:rFonts w:eastAsia="方正仿宋_GBK"/>
          <w:sz w:val="28"/>
        </w:rPr>
        <w:t>收支预算总表支出栏、基本支出表、项目支出表按经济分类和支出功能分类科目编制，反映</w:t>
      </w:r>
      <w:r>
        <w:rPr>
          <w:rFonts w:hint="eastAsia" w:eastAsia="方正仿宋_GBK"/>
          <w:sz w:val="28"/>
          <w:lang w:val="en-US" w:eastAsia="zh-CN"/>
        </w:rPr>
        <w:t>中共承德市鹰手营子矿区委机构编制委员会办公室</w:t>
      </w:r>
      <w:r>
        <w:rPr>
          <w:rFonts w:eastAsia="方正仿宋_GBK"/>
          <w:sz w:val="28"/>
        </w:rPr>
        <w:t>年度部门预算中支出预算的总体情况。20</w:t>
      </w:r>
      <w:r>
        <w:rPr>
          <w:rFonts w:hint="eastAsia" w:eastAsia="方正仿宋_GBK"/>
          <w:sz w:val="28"/>
        </w:rPr>
        <w:t>2</w:t>
      </w:r>
      <w:r>
        <w:rPr>
          <w:rFonts w:hint="eastAsia" w:eastAsia="方正仿宋_GBK"/>
          <w:sz w:val="28"/>
          <w:lang w:val="en-US" w:eastAsia="zh-CN"/>
        </w:rPr>
        <w:t>2</w:t>
      </w:r>
      <w:r>
        <w:rPr>
          <w:rFonts w:eastAsia="方正仿宋_GBK"/>
          <w:sz w:val="28"/>
        </w:rPr>
        <w:t>年支出预算</w:t>
      </w:r>
      <w:r>
        <w:rPr>
          <w:rFonts w:hint="eastAsia" w:eastAsia="方正仿宋_GBK"/>
          <w:sz w:val="28"/>
          <w:lang w:val="en-US" w:eastAsia="zh-CN"/>
        </w:rPr>
        <w:t>60.20</w:t>
      </w:r>
      <w:r>
        <w:rPr>
          <w:rFonts w:eastAsia="方正仿宋_GBK"/>
          <w:sz w:val="28"/>
        </w:rPr>
        <w:t>万元，其中基本支出</w:t>
      </w:r>
      <w:r>
        <w:rPr>
          <w:rFonts w:hint="eastAsia" w:eastAsia="方正仿宋_GBK"/>
          <w:sz w:val="28"/>
          <w:lang w:val="en-US" w:eastAsia="zh-CN"/>
        </w:rPr>
        <w:t>54.28</w:t>
      </w:r>
      <w:r>
        <w:rPr>
          <w:rFonts w:eastAsia="方正仿宋_GBK"/>
          <w:sz w:val="28"/>
        </w:rPr>
        <w:t>万元，包括人员经费</w:t>
      </w:r>
      <w:r>
        <w:rPr>
          <w:rFonts w:hint="eastAsia" w:eastAsia="方正仿宋_GBK"/>
          <w:sz w:val="28"/>
          <w:lang w:val="en-US" w:eastAsia="zh-CN"/>
        </w:rPr>
        <w:t>47.70</w:t>
      </w:r>
      <w:r>
        <w:rPr>
          <w:rFonts w:hint="eastAsia" w:eastAsia="方正仿宋_GBK"/>
          <w:sz w:val="28"/>
        </w:rPr>
        <w:t>万元</w:t>
      </w:r>
      <w:r>
        <w:rPr>
          <w:rFonts w:eastAsia="方正仿宋_GBK"/>
          <w:sz w:val="28"/>
        </w:rPr>
        <w:t>和日常公用经费</w:t>
      </w:r>
      <w:r>
        <w:rPr>
          <w:rFonts w:hint="eastAsia" w:eastAsia="方正仿宋_GBK"/>
          <w:sz w:val="28"/>
          <w:lang w:val="en-US" w:eastAsia="zh-CN"/>
        </w:rPr>
        <w:t>6.58</w:t>
      </w:r>
      <w:r>
        <w:rPr>
          <w:rFonts w:hint="eastAsia" w:eastAsia="方正仿宋_GBK"/>
          <w:sz w:val="28"/>
        </w:rPr>
        <w:t>万元</w:t>
      </w:r>
      <w:r>
        <w:rPr>
          <w:rFonts w:eastAsia="方正仿宋_GBK"/>
          <w:sz w:val="28"/>
        </w:rPr>
        <w:t>；项目支出</w:t>
      </w:r>
      <w:r>
        <w:rPr>
          <w:rFonts w:hint="eastAsia" w:eastAsia="方正仿宋_GBK"/>
          <w:sz w:val="28"/>
          <w:lang w:val="en-US" w:eastAsia="zh-CN"/>
        </w:rPr>
        <w:t>5.92</w:t>
      </w:r>
      <w:r>
        <w:rPr>
          <w:rFonts w:eastAsia="方正仿宋_GBK"/>
          <w:sz w:val="28"/>
        </w:rPr>
        <w:t>万元，</w:t>
      </w:r>
      <w:r>
        <w:rPr>
          <w:rFonts w:hint="eastAsia" w:eastAsia="方正仿宋_GBK"/>
          <w:sz w:val="28"/>
          <w:lang w:val="en-US" w:eastAsia="zh-CN"/>
        </w:rPr>
        <w:t>全部</w:t>
      </w:r>
      <w:r>
        <w:rPr>
          <w:rFonts w:eastAsia="方正仿宋_GBK"/>
          <w:sz w:val="28"/>
        </w:rPr>
        <w:t>为</w:t>
      </w:r>
      <w:r>
        <w:rPr>
          <w:rFonts w:hint="eastAsia" w:eastAsia="方正仿宋_GBK"/>
          <w:sz w:val="28"/>
          <w:lang w:val="en-US" w:eastAsia="zh-CN"/>
        </w:rPr>
        <w:t>一般公共服务支出</w:t>
      </w:r>
      <w:r>
        <w:rPr>
          <w:rFonts w:hint="eastAsia" w:eastAsia="方正仿宋_GBK"/>
          <w:sz w:val="28"/>
        </w:rPr>
        <w:t>；</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hint="eastAsia"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年预算收支安排</w:t>
      </w:r>
      <w:r>
        <w:rPr>
          <w:rFonts w:hint="eastAsia" w:eastAsia="方正仿宋_GBK"/>
          <w:sz w:val="28"/>
          <w:lang w:val="en-US" w:eastAsia="zh-CN"/>
        </w:rPr>
        <w:t>60.20</w:t>
      </w:r>
      <w:r>
        <w:rPr>
          <w:rFonts w:eastAsia="方正仿宋_GBK"/>
          <w:sz w:val="28"/>
        </w:rPr>
        <w:t>万元，较202</w:t>
      </w:r>
      <w:r>
        <w:rPr>
          <w:rFonts w:hint="eastAsia" w:eastAsia="方正仿宋_GBK"/>
          <w:sz w:val="28"/>
          <w:lang w:val="en-US" w:eastAsia="zh-CN"/>
        </w:rPr>
        <w:t>1</w:t>
      </w:r>
      <w:r>
        <w:rPr>
          <w:rFonts w:eastAsia="方正仿宋_GBK"/>
          <w:sz w:val="28"/>
        </w:rPr>
        <w:t>年预算</w:t>
      </w:r>
      <w:r>
        <w:rPr>
          <w:rFonts w:hint="eastAsia" w:eastAsia="方正仿宋_GBK"/>
          <w:sz w:val="28"/>
          <w:lang w:val="en-US" w:eastAsia="zh-CN"/>
        </w:rPr>
        <w:t>增加0.87</w:t>
      </w:r>
      <w:r>
        <w:rPr>
          <w:rFonts w:eastAsia="方正仿宋_GBK"/>
          <w:sz w:val="28"/>
        </w:rPr>
        <w:t>万元，其中：基本支出</w:t>
      </w:r>
      <w:r>
        <w:rPr>
          <w:rFonts w:hint="eastAsia" w:eastAsia="方正仿宋_GBK"/>
          <w:sz w:val="28"/>
        </w:rPr>
        <w:t>减少</w:t>
      </w:r>
      <w:r>
        <w:rPr>
          <w:rFonts w:hint="eastAsia" w:eastAsia="方正仿宋_GBK"/>
          <w:sz w:val="28"/>
          <w:lang w:val="en-US" w:eastAsia="zh-CN"/>
        </w:rPr>
        <w:t>0.21</w:t>
      </w:r>
      <w:r>
        <w:rPr>
          <w:rFonts w:eastAsia="方正仿宋_GBK"/>
          <w:sz w:val="28"/>
        </w:rPr>
        <w:t>万元，主要为</w:t>
      </w:r>
      <w:r>
        <w:rPr>
          <w:rFonts w:hint="eastAsia" w:eastAsia="方正仿宋_GBK"/>
          <w:sz w:val="28"/>
          <w:lang w:val="en-US" w:eastAsia="zh-CN"/>
        </w:rPr>
        <w:t>减少</w:t>
      </w:r>
      <w:r>
        <w:rPr>
          <w:rFonts w:eastAsia="方正仿宋_GBK"/>
          <w:sz w:val="28"/>
        </w:rPr>
        <w:t>人员经费支出；项目支出</w:t>
      </w:r>
      <w:r>
        <w:rPr>
          <w:rFonts w:hint="eastAsia" w:eastAsia="方正仿宋_GBK"/>
          <w:sz w:val="28"/>
        </w:rPr>
        <w:t>增加</w:t>
      </w:r>
      <w:r>
        <w:rPr>
          <w:rFonts w:hint="eastAsia" w:eastAsia="方正仿宋_GBK"/>
          <w:sz w:val="28"/>
          <w:lang w:val="en-US" w:eastAsia="zh-CN"/>
        </w:rPr>
        <w:t>1.08</w:t>
      </w:r>
      <w:r>
        <w:rPr>
          <w:rFonts w:eastAsia="方正仿宋_GBK"/>
          <w:sz w:val="28"/>
        </w:rPr>
        <w:t>万元，主要为</w:t>
      </w:r>
      <w:r>
        <w:rPr>
          <w:rFonts w:hint="eastAsia" w:eastAsia="方正仿宋_GBK"/>
          <w:sz w:val="28"/>
        </w:rPr>
        <w:t>202</w:t>
      </w:r>
      <w:r>
        <w:rPr>
          <w:rFonts w:hint="eastAsia" w:eastAsia="方正仿宋_GBK"/>
          <w:sz w:val="28"/>
          <w:lang w:val="en-US" w:eastAsia="zh-CN"/>
        </w:rPr>
        <w:t>2</w:t>
      </w:r>
      <w:r>
        <w:rPr>
          <w:rFonts w:hint="eastAsia" w:eastAsia="方正仿宋_GBK"/>
          <w:sz w:val="28"/>
        </w:rPr>
        <w:t>年</w:t>
      </w:r>
      <w:r>
        <w:rPr>
          <w:rFonts w:hint="eastAsia" w:eastAsia="方正仿宋_GBK"/>
          <w:sz w:val="28"/>
          <w:lang w:val="en-US" w:eastAsia="zh-CN"/>
        </w:rPr>
        <w:t>新增加电子政务内务内网汇集点拓展接入项目，涉及资金2.6万元</w:t>
      </w:r>
      <w:r>
        <w:rPr>
          <w:rFonts w:hint="eastAsia" w:eastAsia="方正仿宋_GBK"/>
          <w:sz w:val="28"/>
        </w:rPr>
        <w:t>。</w:t>
      </w:r>
    </w:p>
    <w:p>
      <w:pPr>
        <w:pStyle w:val="3"/>
        <w:ind w:firstLine="640" w:firstLineChars="200"/>
        <w:jc w:val="left"/>
        <w:rPr>
          <w:rFonts w:ascii="黑体" w:hAnsi="黑体" w:eastAsia="黑体"/>
          <w:sz w:val="32"/>
        </w:rPr>
      </w:pPr>
      <w:bookmarkStart w:id="11" w:name="_Toc62828919"/>
      <w:r>
        <w:rPr>
          <w:rFonts w:hint="eastAsia" w:ascii="方正黑体_GBK" w:eastAsia="方正黑体_GBK"/>
          <w:sz w:val="32"/>
        </w:rPr>
        <w:t>三、机关运行经费安排情况</w:t>
      </w:r>
      <w:bookmarkEnd w:id="11"/>
    </w:p>
    <w:p>
      <w:pPr>
        <w:spacing w:line="500" w:lineRule="exact"/>
        <w:ind w:firstLine="560" w:firstLineChars="200"/>
        <w:jc w:val="left"/>
        <w:rPr>
          <w:rFonts w:eastAsia="方正仿宋_GBK"/>
          <w:sz w:val="28"/>
        </w:rPr>
      </w:pPr>
      <w:r>
        <w:rPr>
          <w:rFonts w:hint="eastAsia" w:eastAsia="方正仿宋_GBK"/>
          <w:sz w:val="28"/>
        </w:rPr>
        <w:t>202</w:t>
      </w:r>
      <w:r>
        <w:rPr>
          <w:rFonts w:hint="eastAsia" w:eastAsia="方正仿宋_GBK"/>
          <w:sz w:val="28"/>
          <w:lang w:val="en-US" w:eastAsia="zh-CN"/>
        </w:rPr>
        <w:t>2</w:t>
      </w:r>
      <w:r>
        <w:rPr>
          <w:rFonts w:hint="eastAsia" w:eastAsia="方正仿宋_GBK"/>
          <w:sz w:val="28"/>
        </w:rPr>
        <w:t>年，</w:t>
      </w:r>
      <w:r>
        <w:rPr>
          <w:rFonts w:hint="eastAsia" w:eastAsia="方正仿宋_GBK"/>
          <w:sz w:val="28"/>
          <w:lang w:val="en-US" w:eastAsia="zh-CN"/>
        </w:rPr>
        <w:t>中共承德市鹰手营子矿区委机构编制委员会办公室</w:t>
      </w:r>
      <w:r>
        <w:rPr>
          <w:rFonts w:hint="eastAsia" w:eastAsia="方正仿宋_GBK"/>
          <w:sz w:val="28"/>
        </w:rPr>
        <w:t>机关运行经费共计安排</w:t>
      </w:r>
      <w:r>
        <w:rPr>
          <w:rFonts w:hint="eastAsia" w:eastAsia="方正仿宋_GBK"/>
          <w:sz w:val="28"/>
          <w:lang w:val="en-US" w:eastAsia="zh-CN"/>
        </w:rPr>
        <w:t>2.26</w:t>
      </w:r>
      <w:r>
        <w:rPr>
          <w:rFonts w:hint="eastAsia" w:eastAsia="方正仿宋_GBK"/>
          <w:sz w:val="28"/>
        </w:rPr>
        <w:t>万元，主要用于日常维修、水费、</w:t>
      </w:r>
      <w:r>
        <w:rPr>
          <w:rFonts w:hint="eastAsia" w:eastAsia="方正仿宋_GBK"/>
          <w:sz w:val="28"/>
          <w:lang w:val="en-US" w:eastAsia="zh-CN"/>
        </w:rPr>
        <w:t>电话</w:t>
      </w:r>
      <w:r>
        <w:rPr>
          <w:rFonts w:hint="eastAsia" w:eastAsia="方正仿宋_GBK"/>
          <w:sz w:val="28"/>
        </w:rPr>
        <w:t>费等日常运行支出。</w:t>
      </w:r>
    </w:p>
    <w:p>
      <w:pPr>
        <w:pStyle w:val="3"/>
        <w:ind w:firstLine="640" w:firstLineChars="200"/>
        <w:jc w:val="left"/>
        <w:rPr>
          <w:rFonts w:ascii="黑体" w:hAnsi="黑体" w:eastAsia="黑体"/>
          <w:sz w:val="32"/>
        </w:rPr>
      </w:pPr>
      <w:bookmarkStart w:id="12" w:name="_Toc62828920"/>
      <w:r>
        <w:rPr>
          <w:rFonts w:hint="eastAsia" w:ascii="方正黑体_GBK" w:eastAsia="方正黑体_GBK"/>
          <w:sz w:val="32"/>
        </w:rPr>
        <w:t>四、财政拨款</w:t>
      </w:r>
      <w:r>
        <w:rPr>
          <w:rFonts w:ascii="方正黑体_GBK" w:eastAsia="方正黑体_GBK"/>
          <w:sz w:val="32"/>
        </w:rPr>
        <w:t>“</w:t>
      </w:r>
      <w:r>
        <w:rPr>
          <w:rFonts w:hint="eastAsia" w:ascii="方正黑体_GBK" w:eastAsia="方正黑体_GBK"/>
          <w:sz w:val="32"/>
        </w:rPr>
        <w:t>三公</w:t>
      </w:r>
      <w:r>
        <w:rPr>
          <w:rFonts w:ascii="方正黑体_GBK" w:eastAsia="方正黑体_GBK"/>
          <w:sz w:val="32"/>
        </w:rPr>
        <w:t>”</w:t>
      </w:r>
      <w:r>
        <w:rPr>
          <w:rFonts w:hint="eastAsia" w:ascii="方正黑体_GBK" w:eastAsia="方正黑体_GBK"/>
          <w:sz w:val="32"/>
        </w:rPr>
        <w:t>经费预算情况及增减变化原因</w:t>
      </w:r>
      <w:bookmarkEnd w:id="12"/>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w:t>
      </w:r>
      <w:r>
        <w:rPr>
          <w:rFonts w:hint="eastAsia" w:eastAsia="方正仿宋_GBK"/>
          <w:sz w:val="28"/>
          <w:lang w:val="en-US" w:eastAsia="zh-CN"/>
        </w:rPr>
        <w:t>中共承德市鹰手营子矿区委机构编制委员会办公室</w:t>
      </w:r>
      <w:r>
        <w:rPr>
          <w:rFonts w:eastAsia="方正仿宋_GBK"/>
          <w:sz w:val="28"/>
        </w:rPr>
        <w:t>财政拨款“三公”经费预算安排</w:t>
      </w:r>
      <w:r>
        <w:rPr>
          <w:rFonts w:hint="eastAsia" w:eastAsia="方正仿宋_GBK"/>
          <w:sz w:val="28"/>
          <w:lang w:val="en-US" w:eastAsia="zh-CN"/>
        </w:rPr>
        <w:t>0</w:t>
      </w:r>
      <w:r>
        <w:rPr>
          <w:rFonts w:eastAsia="方正仿宋_GBK"/>
          <w:sz w:val="28"/>
        </w:rPr>
        <w:t>万元，其中因公出国（境）费</w:t>
      </w:r>
      <w:r>
        <w:rPr>
          <w:rFonts w:hint="eastAsia" w:eastAsia="方正仿宋_GBK"/>
          <w:sz w:val="28"/>
          <w:lang w:val="en-US" w:eastAsia="zh-CN"/>
        </w:rPr>
        <w:t>0</w:t>
      </w:r>
      <w:r>
        <w:rPr>
          <w:rFonts w:eastAsia="方正仿宋_GBK"/>
          <w:sz w:val="28"/>
        </w:rPr>
        <w:t>万元；公务用车购置及运维费</w:t>
      </w:r>
      <w:r>
        <w:rPr>
          <w:rFonts w:hint="eastAsia" w:eastAsia="方正仿宋_GBK"/>
          <w:sz w:val="28"/>
          <w:lang w:val="en-US" w:eastAsia="zh-CN"/>
        </w:rPr>
        <w:t>0</w:t>
      </w:r>
      <w:r>
        <w:rPr>
          <w:rFonts w:eastAsia="方正仿宋_GBK"/>
          <w:sz w:val="28"/>
        </w:rPr>
        <w:t>万元（其中：公务用车购置费为</w:t>
      </w:r>
      <w:r>
        <w:rPr>
          <w:rFonts w:hint="eastAsia" w:eastAsia="方正仿宋_GBK"/>
          <w:sz w:val="28"/>
          <w:lang w:val="en-US" w:eastAsia="zh-CN"/>
        </w:rPr>
        <w:t>0</w:t>
      </w:r>
      <w:r>
        <w:rPr>
          <w:rFonts w:hint="eastAsia" w:eastAsia="方正仿宋_GBK"/>
          <w:sz w:val="28"/>
        </w:rPr>
        <w:t>万元</w:t>
      </w:r>
      <w:r>
        <w:rPr>
          <w:rFonts w:eastAsia="方正仿宋_GBK"/>
          <w:sz w:val="28"/>
        </w:rPr>
        <w:t>，公务用车运</w:t>
      </w:r>
      <w:r>
        <w:rPr>
          <w:rFonts w:hint="eastAsia" w:eastAsia="方正仿宋_GBK"/>
          <w:sz w:val="28"/>
        </w:rPr>
        <w:t>维</w:t>
      </w:r>
      <w:r>
        <w:rPr>
          <w:rFonts w:eastAsia="方正仿宋_GBK"/>
          <w:sz w:val="28"/>
        </w:rPr>
        <w:t>费</w:t>
      </w:r>
      <w:r>
        <w:rPr>
          <w:rFonts w:hint="eastAsia" w:eastAsia="方正仿宋_GBK"/>
          <w:sz w:val="28"/>
          <w:lang w:val="en-US" w:eastAsia="zh-CN"/>
        </w:rPr>
        <w:t>0</w:t>
      </w:r>
      <w:r>
        <w:rPr>
          <w:rFonts w:eastAsia="方正仿宋_GBK"/>
          <w:sz w:val="28"/>
        </w:rPr>
        <w:t>万元)；公务接待费</w:t>
      </w:r>
      <w:r>
        <w:rPr>
          <w:rFonts w:hint="eastAsia" w:eastAsia="方正仿宋_GBK"/>
          <w:sz w:val="28"/>
          <w:lang w:val="en-US" w:eastAsia="zh-CN"/>
        </w:rPr>
        <w:t>0</w:t>
      </w:r>
      <w:r>
        <w:rPr>
          <w:rFonts w:eastAsia="方正仿宋_GBK"/>
          <w:sz w:val="28"/>
        </w:rPr>
        <w:t>万元。与202</w:t>
      </w:r>
      <w:r>
        <w:rPr>
          <w:rFonts w:hint="eastAsia" w:eastAsia="方正仿宋_GBK"/>
          <w:sz w:val="28"/>
          <w:lang w:val="en-US" w:eastAsia="zh-CN"/>
        </w:rPr>
        <w:t>1</w:t>
      </w:r>
      <w:r>
        <w:rPr>
          <w:rFonts w:eastAsia="方正仿宋_GBK"/>
          <w:sz w:val="28"/>
        </w:rPr>
        <w:t>年</w:t>
      </w:r>
      <w:r>
        <w:rPr>
          <w:rFonts w:hint="eastAsia" w:eastAsia="方正仿宋_GBK"/>
          <w:sz w:val="28"/>
        </w:rPr>
        <w:t>相比持平</w:t>
      </w:r>
      <w:r>
        <w:rPr>
          <w:rFonts w:hint="eastAsia" w:eastAsia="方正仿宋_GBK"/>
          <w:sz w:val="28"/>
          <w:lang w:eastAsia="zh-CN"/>
        </w:rPr>
        <w:t>，</w:t>
      </w:r>
      <w:r>
        <w:rPr>
          <w:rFonts w:hint="eastAsia" w:eastAsia="方正仿宋_GBK"/>
          <w:sz w:val="28"/>
          <w:lang w:val="en-US" w:eastAsia="zh-CN"/>
        </w:rPr>
        <w:t>2021年也无“三公”经费预算</w:t>
      </w:r>
      <w:r>
        <w:rPr>
          <w:rFonts w:eastAsia="方正仿宋_GBK"/>
          <w:sz w:val="28"/>
        </w:rPr>
        <w:t>。</w:t>
      </w:r>
    </w:p>
    <w:p>
      <w:pPr>
        <w:pStyle w:val="3"/>
        <w:ind w:firstLine="640" w:firstLineChars="200"/>
        <w:jc w:val="left"/>
        <w:rPr>
          <w:rFonts w:ascii="黑体" w:hAnsi="黑体" w:eastAsia="黑体"/>
          <w:sz w:val="32"/>
        </w:rPr>
      </w:pPr>
      <w:bookmarkStart w:id="13" w:name="_Toc62828921"/>
      <w:r>
        <w:rPr>
          <w:rFonts w:hint="eastAsia" w:ascii="方正黑体_GBK" w:eastAsia="方正黑体_GBK"/>
          <w:sz w:val="32"/>
        </w:rPr>
        <w:t>五、预算绩效信息</w:t>
      </w:r>
      <w:bookmarkEnd w:id="13"/>
      <w:r>
        <w:rPr>
          <w:rFonts w:hint="eastAsia" w:ascii="黑体" w:hAnsi="黑体" w:eastAsia="黑体"/>
          <w:sz w:val="32"/>
        </w:rPr>
        <w:t xml:space="preserve"> </w:t>
      </w:r>
    </w:p>
    <w:p>
      <w:pPr>
        <w:ind w:firstLine="640" w:firstLineChars="200"/>
        <w:jc w:val="left"/>
        <w:rPr>
          <w:rFonts w:ascii="方正楷体_GBK" w:eastAsia="方正楷体_GBK"/>
          <w:b/>
          <w:sz w:val="32"/>
          <w:szCs w:val="32"/>
        </w:rPr>
      </w:pPr>
      <w:bookmarkStart w:id="14" w:name="_Toc471398463"/>
      <w:r>
        <w:rPr>
          <w:rFonts w:hint="eastAsia" w:ascii="方正楷体_GBK" w:eastAsia="方正楷体_GBK"/>
          <w:b/>
          <w:sz w:val="32"/>
          <w:szCs w:val="32"/>
        </w:rPr>
        <w:t>第一部分 部门整体绩效目标</w:t>
      </w:r>
    </w:p>
    <w:p>
      <w:pPr>
        <w:spacing w:line="500" w:lineRule="exact"/>
        <w:ind w:firstLine="560" w:firstLineChars="200"/>
        <w:jc w:val="left"/>
        <w:rPr>
          <w:rFonts w:eastAsia="方正仿宋_GBK"/>
          <w:sz w:val="28"/>
        </w:rPr>
      </w:pPr>
      <w:r>
        <w:rPr>
          <w:rFonts w:hint="eastAsia" w:eastAsia="方正仿宋_GBK"/>
          <w:sz w:val="28"/>
        </w:rPr>
        <w:t>（一）总体绩效目标</w:t>
      </w:r>
    </w:p>
    <w:p>
      <w:pPr>
        <w:pStyle w:val="25"/>
        <w:rPr>
          <w:rFonts w:eastAsia="方正仿宋_GBK"/>
          <w:sz w:val="28"/>
        </w:rPr>
      </w:pPr>
      <w:r>
        <w:rPr>
          <w:rFonts w:hint="eastAsia" w:ascii="Times New Roman" w:hAnsi="Times New Roman" w:eastAsia="方正仿宋_GBK" w:cs="Times New Roman"/>
          <w:kern w:val="2"/>
          <w:sz w:val="28"/>
          <w:szCs w:val="24"/>
          <w:lang w:val="en-US" w:eastAsia="zh-CN" w:bidi="ar-SA"/>
        </w:rPr>
        <w:t xml:space="preserve">坚持以习近平新时代中国特色社会主义思想为指导，全面贯彻党的十九大和十九届二中、三中、四中、五中、六中全会精神，坚决落实中央和省、市、区委编委决策部署，紧紧围绕区委中心工作，以加强党的全面领导为统领，以深化改革为主线，以贯彻落实《中国共产党机构编制工作条例》为着力点，健全完善党管机构编制制度体系，巩固深化机构改革成果，扎实推进改革工作，统筹配置机构编制资源，为建设“经济强区、幸福鹰城”做出新的更大的贡献。 </w:t>
      </w:r>
      <w:r>
        <w:rPr>
          <w:rFonts w:hint="eastAsia" w:eastAsia="方正仿宋_GBK"/>
          <w:sz w:val="28"/>
        </w:rPr>
        <w:t xml:space="preserve"> </w:t>
      </w:r>
    </w:p>
    <w:p>
      <w:pPr>
        <w:spacing w:line="500" w:lineRule="exact"/>
        <w:ind w:firstLine="560" w:firstLineChars="200"/>
        <w:jc w:val="left"/>
        <w:rPr>
          <w:rFonts w:eastAsia="方正仿宋_GBK"/>
          <w:sz w:val="28"/>
        </w:rPr>
      </w:pPr>
      <w:r>
        <w:rPr>
          <w:rFonts w:hint="eastAsia" w:eastAsia="方正仿宋_GBK"/>
          <w:sz w:val="28"/>
        </w:rPr>
        <w:t>（二）分项绩效目标</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1.深化机构改革</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绩效目标：牵头做好综合行政执法改革，事业单位清理规范及机关事业单位人事管理“一网通办”改革工作等改革。</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绩效指标：改革完成验收率达80%；在规定时间内完成改革工作</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2.机构编制管理</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绩效目标：持续推行机构编制动态管理制度，严格执行机构编制管理法律法规和党内法规，严格机构编制管理权限和程序，严禁超限额设置机构、超编进人、超职数配备领导干部。</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绩效指标：严格按照规定办理编制手续，调整编制平台数据。</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3.事业单位法人登记</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绩效目标：认真做好事业单位法人登记和年报审核工作，确保各单位能够及时办理，实现按期登记完毕，进一步提高工作效率和管理质量。</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绩效指标：及时完成法人登记和年报审核工作。</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4.机关事业单位域名管理</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绩效目标：做好机关事业单位域名管理工作，保障全区机关事业单位中文域名正常使用，保障和维护国家信息安全。</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绩效指标：域名缴费率达100%；按时完成缴费工作。</w:t>
      </w:r>
    </w:p>
    <w:p>
      <w:pPr>
        <w:spacing w:line="500" w:lineRule="exact"/>
        <w:ind w:firstLine="560" w:firstLineChars="200"/>
        <w:jc w:val="left"/>
        <w:rPr>
          <w:rFonts w:eastAsia="方正仿宋_GBK"/>
          <w:sz w:val="28"/>
        </w:rPr>
      </w:pPr>
      <w:r>
        <w:rPr>
          <w:rFonts w:hint="eastAsia" w:eastAsia="方正仿宋_GBK"/>
          <w:sz w:val="28"/>
        </w:rPr>
        <w:t>（三）工作保障措施</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1.加强制度建设，健全完善机制体制</w:t>
      </w:r>
    </w:p>
    <w:p>
      <w:pPr>
        <w:spacing w:line="560" w:lineRule="exact"/>
        <w:ind w:firstLine="640" w:firstLineChars="2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根据区委区政府全面实施预算绩效管理的意见，以及我区预算绩效管理相关要求，健全完善编办预算绩效管理、预算资金管理等制度规定。</w:t>
      </w:r>
      <w:r>
        <w:rPr>
          <w:rFonts w:hint="eastAsia" w:ascii="仿宋_GB2312" w:eastAsia="仿宋_GB2312"/>
          <w:sz w:val="32"/>
          <w:szCs w:val="32"/>
        </w:rPr>
        <w:t>按要求开展绩效运行监控，发现问题及时采取措施，确保绩效目标如期保质实现。按要求开展上年度部门预算绩效自评和重点评价工作，对评价中发现的问题及时整改，调整优化支出结构，提高财政资金使用效益。</w:t>
      </w:r>
      <w:r>
        <w:rPr>
          <w:rFonts w:hint="eastAsia" w:ascii="仿宋_GB2312" w:hAnsi="方正仿宋_GBK" w:eastAsia="仿宋_GB2312" w:cs="方正仿宋_GBK"/>
          <w:sz w:val="32"/>
          <w:szCs w:val="32"/>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2.加强支出管理，确保支出进度达标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编细编实预算，将项目细化到可执行程度，确保批复即可执行。通过加快履行政府采购手续、尽快启动项目、及时支付资金等措施，督导各项工作活动按年初计划组织开展，及时有序支付资金。加强预算资金支出动态过程管理，及时协调解决预算项目中遇到的困难问题，实时掌握预算支出进度，按照区财政局关于支出进度的关键时间节点，对预算资金项目进度进行通报，督促加快项目执行。</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3.加强内部监管，确保资金安全有效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完善财务管理制度，严格财务资金审批程序，加强固定资产登记、使用和报废处置管理，最大程度发挥国有资产效能。完善内部监督制度，加强对绩效运行情况、重大支出决策、资产处置及其他重要事项决策和执行的督导，对会计资料开展内部审计，配合做好审计、财政监督等外部监督工作，确保财政资金安全有效。</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4.加强宣传培训调研，提升预算绩效管理水平</w:t>
      </w:r>
    </w:p>
    <w:p>
      <w:pPr>
        <w:spacing w:line="560" w:lineRule="exact"/>
        <w:ind w:firstLine="640" w:firstLineChars="200"/>
        <w:jc w:val="left"/>
        <w:rPr>
          <w:rFonts w:eastAsia="方正仿宋_GBK"/>
          <w:sz w:val="28"/>
        </w:rPr>
      </w:pPr>
      <w:r>
        <w:rPr>
          <w:rFonts w:hint="eastAsia" w:ascii="仿宋_GB2312" w:eastAsia="仿宋_GB2312"/>
          <w:sz w:val="32"/>
          <w:szCs w:val="32"/>
        </w:rPr>
        <w:t>加强预算绩效管理专业知识培训，提高预算绩效管理工作人员的业务素质，不断优化财务人员知识结构，促进财务人员严格履行职责，提高财务管理的科学化和规范化水平。加强预算绩效调研工作，将绩效管理方法融入预算编制、执行和监督过程中，强化绩效评价结果应用，提出优化财政资金配置、提高资金使用效益的意见。加大预算绩效宣传力度，强化预算绩效管理意识，为预算绩效管理创造良好的思想基础和舆论环境，促进预算绩效管理水平进一步提升。</w:t>
      </w:r>
    </w:p>
    <w:p>
      <w:pPr>
        <w:ind w:firstLine="640" w:firstLineChars="200"/>
        <w:jc w:val="left"/>
        <w:rPr>
          <w:rFonts w:ascii="方正楷体_GBK" w:eastAsia="方正楷体_GBK"/>
          <w:b/>
          <w:sz w:val="32"/>
          <w:szCs w:val="32"/>
        </w:rPr>
      </w:pPr>
      <w:r>
        <w:rPr>
          <w:rFonts w:hint="eastAsia" w:ascii="方正楷体_GBK" w:eastAsia="方正楷体_GBK"/>
          <w:b/>
          <w:sz w:val="32"/>
          <w:szCs w:val="32"/>
        </w:rPr>
        <w:t>第二部分  专项资金绩效目标：</w:t>
      </w:r>
      <w:r>
        <w:rPr>
          <w:rFonts w:ascii="方正楷体_GBK" w:eastAsia="方正楷体_GBK"/>
          <w:b/>
          <w:sz w:val="32"/>
          <w:szCs w:val="32"/>
        </w:rPr>
        <w:t xml:space="preserve"> </w:t>
      </w:r>
    </w:p>
    <w:p>
      <w:pPr>
        <w:ind w:firstLine="560"/>
        <w:rPr>
          <w:rFonts w:eastAsia="方正仿宋_GBK"/>
          <w:sz w:val="32"/>
          <w:szCs w:val="32"/>
        </w:rPr>
      </w:pPr>
      <w:r>
        <w:rPr>
          <w:rFonts w:hint="eastAsia" w:eastAsia="方正仿宋_GBK"/>
          <w:sz w:val="32"/>
          <w:szCs w:val="32"/>
          <w:lang w:val="en-US" w:eastAsia="zh-CN"/>
        </w:rPr>
        <w:t>我部门无专项资金</w:t>
      </w:r>
      <w:r>
        <w:rPr>
          <w:rFonts w:eastAsia="方正仿宋_GBK"/>
          <w:sz w:val="32"/>
          <w:szCs w:val="32"/>
        </w:rPr>
        <w:fldChar w:fldCharType="begin"/>
      </w:r>
      <w:r>
        <w:rPr>
          <w:rFonts w:eastAsia="方正仿宋_GBK"/>
          <w:sz w:val="32"/>
          <w:szCs w:val="32"/>
        </w:rPr>
        <w:instrText xml:space="preserve"> </w:instrText>
      </w:r>
      <w:r>
        <w:rPr>
          <w:rFonts w:hint="eastAsia" w:eastAsia="方正仿宋_GBK"/>
          <w:sz w:val="32"/>
          <w:szCs w:val="32"/>
        </w:rPr>
        <w:instrText xml:space="preserve">TC </w:instrText>
      </w:r>
      <w:bookmarkStart w:id="15" w:name="_Toc28800633"/>
      <w:r>
        <w:rPr>
          <w:rFonts w:hint="eastAsia" w:eastAsia="方正仿宋_GBK"/>
          <w:sz w:val="32"/>
          <w:szCs w:val="32"/>
        </w:rPr>
        <w:instrText xml:space="preserve">3、农村综合改革专项资金绩效目标表</w:instrText>
      </w:r>
      <w:bookmarkEnd w:id="15"/>
      <w:r>
        <w:rPr>
          <w:rFonts w:hint="eastAsia" w:eastAsia="方正仿宋_GBK"/>
          <w:sz w:val="32"/>
          <w:szCs w:val="32"/>
        </w:rPr>
        <w:instrText xml:space="preserve"> \f B \l 1</w:instrText>
      </w:r>
      <w:r>
        <w:rPr>
          <w:rFonts w:eastAsia="方正仿宋_GBK"/>
          <w:sz w:val="32"/>
          <w:szCs w:val="32"/>
        </w:rPr>
        <w:instrText xml:space="preserve"> </w:instrText>
      </w:r>
      <w:r>
        <w:rPr>
          <w:rFonts w:eastAsia="方正仿宋_GBK"/>
          <w:sz w:val="32"/>
          <w:szCs w:val="32"/>
        </w:rPr>
        <w:fldChar w:fldCharType="end"/>
      </w:r>
    </w:p>
    <w:p>
      <w:pPr>
        <w:spacing w:line="14" w:lineRule="exact"/>
        <w:ind w:firstLine="420" w:firstLineChars="200"/>
        <w:jc w:val="center"/>
        <w:rPr>
          <w:rFonts w:hAnsi="宋体"/>
        </w:rPr>
      </w:pPr>
      <w:r>
        <w:rPr>
          <w:rFonts w:ascii="方正书宋_GBK" w:eastAsia="方正书宋_GBK"/>
        </w:rPr>
        <w:t xml:space="preserve"> </w:t>
      </w:r>
    </w:p>
    <w:p>
      <w:pPr>
        <w:ind w:firstLine="560"/>
        <w:rPr>
          <w:rFonts w:eastAsia="方正仿宋_GBK"/>
          <w:b/>
          <w:sz w:val="32"/>
          <w:szCs w:val="32"/>
        </w:rPr>
      </w:pPr>
      <w:r>
        <w:rPr>
          <w:rFonts w:hint="eastAsia" w:eastAsia="方正仿宋_GBK"/>
          <w:b/>
          <w:sz w:val="32"/>
          <w:szCs w:val="32"/>
        </w:rPr>
        <w:t>第三部分  预算项目绩效目标：</w:t>
      </w:r>
    </w:p>
    <w:p>
      <w:pPr>
        <w:spacing w:line="500" w:lineRule="exact"/>
        <w:ind w:firstLine="560" w:firstLineChars="200"/>
        <w:jc w:val="left"/>
        <w:rPr>
          <w:rFonts w:eastAsia="方正仿宋_GBK"/>
          <w:sz w:val="28"/>
        </w:rPr>
      </w:pPr>
      <w:r>
        <w:rPr>
          <w:rFonts w:hint="eastAsia" w:eastAsia="方正仿宋_GBK"/>
          <w:sz w:val="28"/>
        </w:rPr>
        <w:t xml:space="preserve"> 1、</w:t>
      </w:r>
      <w:r>
        <w:rPr>
          <w:rFonts w:ascii="方正仿宋_GBK" w:hAnsi="方正仿宋_GBK" w:eastAsia="方正仿宋_GBK" w:cs="方正仿宋_GBK"/>
          <w:color w:val="000000"/>
          <w:sz w:val="28"/>
        </w:rPr>
        <w:t>电子政务内网汇集点扩展接入</w:t>
      </w:r>
      <w:r>
        <w:rPr>
          <w:rFonts w:hint="eastAsia"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left"/>
              <w:rPr>
                <w:rFonts w:ascii="方正书宋_GBK" w:eastAsia="方正书宋_GBK"/>
                <w:b/>
                <w:szCs w:val="21"/>
              </w:rPr>
            </w:pPr>
            <w:r>
              <w:rPr>
                <w:rFonts w:hint="eastAsia" w:ascii="方正书宋_GBK" w:eastAsia="方正书宋_GBK"/>
                <w:b/>
                <w:szCs w:val="21"/>
              </w:rPr>
              <w:t xml:space="preserve">根据《中共河北省委机构编制委员会办公室等五部门关于全面推进机关事业单位人事管理“一网通办”改革加快电子政务内网建设的通知》文件要求，需要依托省电子政务内网开展机关事业单位人事管理“一网通办”改革。该项目2022年度需资金2.6万元。该项目工程总价款为5.3225万元，按照合同约定，验收完成后需支付总价款的95%，即5.056375万元。由于本年度财政资金紧张，拟支付50%，即2.6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r>
              <w:rPr>
                <w:rFonts w:hint="eastAsia" w:ascii="方正书宋_GBK" w:eastAsia="方正书宋_GBK"/>
                <w:szCs w:val="21"/>
              </w:rPr>
              <w:t>产出指标</w:t>
            </w: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硬件配置完成率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硬件配置完成率=实际采购、安装硬件数量/计划采购、安装的数量*100%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验收合格率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系统验收合格率=系统验收合格数量/系统总数量*100%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信息系统建设执行率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信息系统建设执行率=按照计划及时购买安装的软硬件数量/计划购买安装软硬件数量*100%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《软件质量要求与评价指南》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采购总成本控制率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采购总成本控制率=实际采购总成本/采购总预算成本*100%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r>
              <w:rPr>
                <w:rFonts w:hint="eastAsia" w:ascii="方正书宋_GBK" w:eastAsia="方正书宋_GBK"/>
                <w:szCs w:val="21"/>
              </w:rPr>
              <w:t>效果指标</w:t>
            </w: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设备使用率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设备使用率=信息设备或建设的系统使用台数（或功能）/设备总（功能）数*100%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r>
              <w:rPr>
                <w:rFonts w:hint="eastAsia" w:ascii="方正书宋_GBK" w:eastAsia="方正书宋_GBK"/>
                <w:szCs w:val="21"/>
              </w:rPr>
              <w:t>满意度指标</w:t>
            </w: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服务对象满意度指标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pPr>
            <w:r>
              <w:t>网络使用人员</w:t>
            </w:r>
          </w:p>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满意度</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信息系统使用人员满意度</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日常工作经验标准</w:t>
            </w:r>
          </w:p>
        </w:tc>
      </w:tr>
    </w:tbl>
    <w:p>
      <w:pPr>
        <w:rPr>
          <w:rFonts w:eastAsia="方正仿宋_GBK"/>
          <w:sz w:val="32"/>
          <w:szCs w:val="32"/>
        </w:rPr>
      </w:pPr>
    </w:p>
    <w:p>
      <w:pPr>
        <w:spacing w:line="500" w:lineRule="exact"/>
        <w:ind w:firstLine="560" w:firstLineChars="200"/>
        <w:jc w:val="left"/>
        <w:rPr>
          <w:rFonts w:eastAsia="方正仿宋_GBK"/>
          <w:sz w:val="28"/>
        </w:rPr>
      </w:pPr>
      <w:r>
        <w:rPr>
          <w:rFonts w:eastAsia="方正仿宋_GBK"/>
          <w:sz w:val="28"/>
        </w:rPr>
        <w:t>2、</w:t>
      </w:r>
      <w:r>
        <w:rPr>
          <w:rFonts w:ascii="方正仿宋_GBK" w:hAnsi="方正仿宋_GBK" w:eastAsia="方正仿宋_GBK" w:cs="方正仿宋_GBK"/>
          <w:color w:val="000000"/>
          <w:sz w:val="28"/>
        </w:rPr>
        <w:t>深化机构改革工作</w:t>
      </w:r>
      <w:r>
        <w:rPr>
          <w:rFonts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left"/>
              <w:rPr>
                <w:rFonts w:ascii="方正书宋_GBK" w:eastAsia="方正书宋_GBK"/>
                <w:b/>
                <w:szCs w:val="21"/>
              </w:rPr>
            </w:pPr>
            <w:r>
              <w:rPr>
                <w:rFonts w:hint="eastAsia" w:ascii="方正书宋_GBK" w:eastAsia="方正书宋_GBK"/>
                <w:b/>
                <w:szCs w:val="21"/>
              </w:rPr>
              <w:t>2022年度继续推进三大领域综合执法改革和应急管理局执法改革，按上级要求完成事业单位改革工作，完成机构挂牌，维护“一网通办”网络良好运行。项目资金主要用于因以上改革工作产生的资料印刷费、办公用品购置费、培训费、差旅费和邮电费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机构改革完成数量</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机构改革完成数量</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改革工作要求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机构改革工作审批通过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机构改革工作审批通过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改革工作要求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机构改革工作及时完成</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机构改革工作及时完成</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改革工作要求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总成本控制率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总成本控制率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内控要求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效果指标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反映运转保障各项工作开展的效果</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反映运转保障各项工作开展的效果</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改革工作要求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pPr>
            <w:r>
              <w:t>服务对象</w:t>
            </w:r>
          </w:p>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满意度指标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pPr>
          </w:p>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满意度</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参与改革单位满意情况</w:t>
            </w:r>
          </w:p>
        </w:tc>
      </w:tr>
    </w:tbl>
    <w:p>
      <w:pPr>
        <w:ind w:firstLine="560"/>
        <w:rPr>
          <w:rFonts w:eastAsia="方正仿宋_GBK"/>
          <w:sz w:val="32"/>
          <w:szCs w:val="32"/>
        </w:rPr>
      </w:pPr>
    </w:p>
    <w:bookmarkEnd w:id="14"/>
    <w:p>
      <w:pPr>
        <w:spacing w:line="500" w:lineRule="exact"/>
        <w:ind w:firstLine="560" w:firstLineChars="200"/>
        <w:jc w:val="left"/>
        <w:rPr>
          <w:rFonts w:eastAsia="方正仿宋_GBK"/>
          <w:sz w:val="28"/>
        </w:rPr>
      </w:pPr>
      <w:bookmarkStart w:id="16" w:name="_Toc62828922"/>
      <w:r>
        <w:rPr>
          <w:rFonts w:hint="eastAsia" w:eastAsia="方正仿宋_GBK"/>
          <w:sz w:val="28"/>
          <w:lang w:val="en-US" w:eastAsia="zh-CN"/>
        </w:rPr>
        <w:t>3</w:t>
      </w:r>
      <w:r>
        <w:rPr>
          <w:rFonts w:eastAsia="方正仿宋_GBK"/>
          <w:sz w:val="28"/>
        </w:rPr>
        <w:t>、</w:t>
      </w:r>
      <w:r>
        <w:rPr>
          <w:rFonts w:ascii="方正仿宋_GBK" w:hAnsi="方正仿宋_GBK" w:eastAsia="方正仿宋_GBK" w:cs="方正仿宋_GBK"/>
          <w:color w:val="000000"/>
          <w:sz w:val="28"/>
        </w:rPr>
        <w:t>营子区机关事业单位域名管理</w:t>
      </w:r>
      <w:r>
        <w:rPr>
          <w:rFonts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center"/>
              <w:rPr>
                <w:rFonts w:ascii="方正书宋_GBK" w:eastAsia="方正书宋_GBK"/>
                <w:b w:val="0"/>
                <w:bCs/>
                <w:szCs w:val="21"/>
              </w:rPr>
            </w:pPr>
            <w:r>
              <w:rPr>
                <w:rFonts w:ascii="方正书宋_GBK" w:eastAsia="方正书宋_GBK"/>
                <w:b w:val="0"/>
                <w:bCs/>
                <w:szCs w:val="21"/>
              </w:rPr>
              <w:t>为全区82个机关事业单位域名续费，确保全区机关事业单位中文域名正常使用，保障和维护国家信息安全。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完成续费域名数量</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完成续费域名数量</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82</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续费域名数量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续费正确率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续费正确率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2022年底前完成续费</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2022年底前完成续费</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2022年12月31日</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总成本控制率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总成本控制率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内控要求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效果指标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确保全区机关事业单位中文域名正常使用，保障和维护国家信息安全</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确保全区机关事业单位中文域名正常使用，保障和维护国家信息安全</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反映域名正常使用情况</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服务单位满意度</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服务单位满意度</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w:t>
            </w:r>
          </w:p>
        </w:tc>
      </w:tr>
    </w:tbl>
    <w:p>
      <w:pPr>
        <w:pStyle w:val="3"/>
        <w:ind w:firstLine="640" w:firstLineChars="200"/>
        <w:jc w:val="left"/>
        <w:rPr>
          <w:rFonts w:ascii="黑体" w:hAnsi="黑体" w:eastAsia="黑体"/>
          <w:sz w:val="32"/>
        </w:rPr>
      </w:pPr>
      <w:r>
        <w:rPr>
          <w:rFonts w:hint="eastAsia" w:ascii="方正黑体_GBK" w:eastAsia="方正黑体_GBK"/>
          <w:sz w:val="32"/>
        </w:rPr>
        <w:t>六、政府采购预算情况</w:t>
      </w:r>
      <w:bookmarkEnd w:id="16"/>
      <w:r>
        <w:rPr>
          <w:rFonts w:hint="eastAsia" w:ascii="黑体" w:hAnsi="黑体" w:eastAsia="黑体"/>
          <w:sz w:val="32"/>
        </w:rPr>
        <w:t xml:space="preserve"> </w:t>
      </w:r>
    </w:p>
    <w:p>
      <w:pPr>
        <w:spacing w:line="500" w:lineRule="exact"/>
        <w:ind w:firstLine="560" w:firstLineChars="200"/>
        <w:jc w:val="left"/>
        <w:rPr>
          <w:rFonts w:eastAsia="方正仿宋_GBK"/>
          <w:sz w:val="28"/>
        </w:rPr>
      </w:pPr>
      <w:bookmarkStart w:id="17" w:name="_Toc471398468"/>
      <w:r>
        <w:rPr>
          <w:rFonts w:eastAsia="方正仿宋_GBK"/>
          <w:sz w:val="28"/>
        </w:rPr>
        <w:t>202</w:t>
      </w:r>
      <w:r>
        <w:rPr>
          <w:rFonts w:hint="eastAsia" w:eastAsia="方正仿宋_GBK"/>
          <w:sz w:val="28"/>
          <w:lang w:val="en-US" w:eastAsia="zh-CN"/>
        </w:rPr>
        <w:t>2</w:t>
      </w:r>
      <w:r>
        <w:rPr>
          <w:rFonts w:eastAsia="方正仿宋_GBK"/>
          <w:sz w:val="28"/>
        </w:rPr>
        <w:t>年，</w:t>
      </w:r>
      <w:r>
        <w:rPr>
          <w:rFonts w:hint="eastAsia" w:eastAsia="方正仿宋_GBK"/>
          <w:sz w:val="28"/>
          <w:lang w:val="en-US" w:eastAsia="zh-CN"/>
        </w:rPr>
        <w:t>中共承德市鹰手营子矿区委机构编制委员会办公室</w:t>
      </w:r>
      <w:r>
        <w:rPr>
          <w:rFonts w:eastAsia="方正仿宋_GBK"/>
          <w:sz w:val="28"/>
        </w:rPr>
        <w:t>采购预算</w:t>
      </w:r>
      <w:r>
        <w:rPr>
          <w:rFonts w:hint="eastAsia" w:eastAsia="方正仿宋_GBK"/>
          <w:sz w:val="28"/>
          <w:lang w:val="en-US" w:eastAsia="zh-CN"/>
        </w:rPr>
        <w:t>0</w:t>
      </w:r>
      <w:r>
        <w:rPr>
          <w:rFonts w:eastAsia="方正仿宋_GBK"/>
          <w:sz w:val="28"/>
        </w:rPr>
        <w:t>万元。具体内容见下表。</w:t>
      </w:r>
    </w:p>
    <w:bookmarkEnd w:id="17"/>
    <w:p>
      <w:pPr>
        <w:pStyle w:val="3"/>
        <w:ind w:firstLine="640" w:firstLineChars="200"/>
        <w:jc w:val="left"/>
        <w:rPr>
          <w:rFonts w:ascii="黑体" w:hAnsi="黑体" w:eastAsia="黑体"/>
          <w:sz w:val="32"/>
        </w:rPr>
      </w:pPr>
      <w:bookmarkStart w:id="18" w:name="_Toc62828923"/>
      <w:r>
        <w:rPr>
          <w:rFonts w:hint="eastAsia" w:ascii="方正黑体_GBK" w:eastAsia="方正黑体_GBK"/>
          <w:sz w:val="32"/>
        </w:rPr>
        <w:t>七、国有资产信息</w:t>
      </w:r>
      <w:bookmarkEnd w:id="18"/>
    </w:p>
    <w:p>
      <w:pPr>
        <w:spacing w:line="500" w:lineRule="exact"/>
        <w:ind w:firstLine="560" w:firstLineChars="200"/>
        <w:jc w:val="left"/>
        <w:rPr>
          <w:rFonts w:eastAsia="方正仿宋_GBK"/>
          <w:sz w:val="28"/>
        </w:rPr>
      </w:pPr>
      <w:r>
        <w:rPr>
          <w:rFonts w:hint="eastAsia" w:eastAsia="方正仿宋_GBK"/>
          <w:sz w:val="28"/>
          <w:lang w:val="en-US" w:eastAsia="zh-CN"/>
        </w:rPr>
        <w:t>中共承德市鹰手营子矿区委机构编制委员会办公室</w:t>
      </w:r>
      <w:r>
        <w:rPr>
          <w:rFonts w:hint="eastAsia" w:eastAsia="方正仿宋_GBK"/>
          <w:sz w:val="28"/>
        </w:rPr>
        <w:t>（含所属单位）上年末固定资产金额为</w:t>
      </w:r>
      <w:r>
        <w:rPr>
          <w:rFonts w:hint="eastAsia" w:eastAsia="方正仿宋_GBK"/>
          <w:sz w:val="28"/>
          <w:lang w:val="en-US" w:eastAsia="zh-CN"/>
        </w:rPr>
        <w:t>2.891072</w:t>
      </w:r>
      <w:r>
        <w:rPr>
          <w:rFonts w:hint="eastAsia" w:eastAsia="方正仿宋_GBK"/>
          <w:sz w:val="28"/>
        </w:rPr>
        <w:t>万元（详见下表），本年度拟购置固定资产总额为</w:t>
      </w:r>
      <w:r>
        <w:rPr>
          <w:rFonts w:hint="eastAsia" w:eastAsia="方正仿宋_GBK"/>
          <w:sz w:val="28"/>
          <w:lang w:val="en-US" w:eastAsia="zh-CN"/>
        </w:rPr>
        <w:t>1.59</w:t>
      </w:r>
      <w:r>
        <w:rPr>
          <w:rFonts w:hint="eastAsia" w:eastAsia="方正仿宋_GBK"/>
          <w:sz w:val="28"/>
        </w:rPr>
        <w:t>万元，主要为计算机设备、打印设备、</w:t>
      </w:r>
      <w:r>
        <w:rPr>
          <w:rFonts w:hint="eastAsia" w:eastAsia="方正仿宋_GBK"/>
          <w:sz w:val="28"/>
          <w:lang w:val="en-US" w:eastAsia="zh-CN"/>
        </w:rPr>
        <w:t>网卡</w:t>
      </w:r>
      <w:r>
        <w:rPr>
          <w:rFonts w:hint="eastAsia" w:eastAsia="方正仿宋_GBK"/>
          <w:sz w:val="28"/>
        </w:rPr>
        <w:t>等。</w:t>
      </w:r>
    </w:p>
    <w:p>
      <w:pPr>
        <w:spacing w:line="500" w:lineRule="exact"/>
        <w:ind w:firstLine="560" w:firstLineChars="200"/>
        <w:jc w:val="left"/>
        <w:rPr>
          <w:rFonts w:eastAsia="方正仿宋_GBK"/>
          <w:sz w:val="28"/>
        </w:rPr>
      </w:pPr>
    </w:p>
    <w:p>
      <w:pPr>
        <w:jc w:val="center"/>
        <w:rPr>
          <w:rFonts w:ascii="仿宋_GB2312" w:hAnsi="黑体" w:eastAsia="仿宋_GB2312"/>
          <w:sz w:val="32"/>
          <w:szCs w:val="32"/>
        </w:rPr>
      </w:pPr>
      <w:r>
        <w:rPr>
          <w:rFonts w:hint="eastAsia" w:ascii="黑体" w:hAnsi="黑体" w:eastAsia="黑体" w:cs="宋体"/>
          <w:bCs/>
          <w:kern w:val="0"/>
          <w:sz w:val="32"/>
          <w:szCs w:val="32"/>
          <w:lang w:val="en-US" w:eastAsia="zh-CN"/>
        </w:rPr>
        <w:t>中共承德市鹰手营子矿区委机构编制委员会办公室</w:t>
      </w:r>
      <w:r>
        <w:rPr>
          <w:rFonts w:hint="eastAsia" w:ascii="黑体" w:hAnsi="黑体" w:eastAsia="黑体" w:cs="宋体"/>
          <w:bCs/>
          <w:kern w:val="0"/>
          <w:sz w:val="32"/>
          <w:szCs w:val="32"/>
        </w:rPr>
        <w:t>部门固定资产占用情况表</w:t>
      </w:r>
    </w:p>
    <w:tbl>
      <w:tblPr>
        <w:tblStyle w:val="11"/>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spacing w:line="300" w:lineRule="exact"/>
              <w:jc w:val="left"/>
              <w:rPr>
                <w:rFonts w:hint="eastAsia" w:ascii="方正小标宋_GBK" w:eastAsia="方正小标宋_GBK"/>
                <w:sz w:val="24"/>
                <w:lang w:eastAsia="zh-CN"/>
              </w:rPr>
            </w:pPr>
            <w:r>
              <w:rPr>
                <w:rFonts w:hint="eastAsia" w:ascii="方正小标宋_GBK" w:eastAsia="方正小标宋_GBK"/>
                <w:sz w:val="24"/>
                <w:lang w:eastAsia="zh-CN"/>
              </w:rPr>
              <w:t>225002中共承德市鹰手营子矿区委机构编制委员会办公室</w:t>
            </w:r>
          </w:p>
        </w:tc>
        <w:tc>
          <w:tcPr>
            <w:tcW w:w="5103" w:type="dxa"/>
            <w:tcBorders>
              <w:top w:val="nil"/>
              <w:left w:val="nil"/>
              <w:bottom w:val="nil"/>
              <w:right w:val="nil"/>
            </w:tcBorders>
            <w:shd w:val="clear" w:color="auto" w:fill="auto"/>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w:t>
            </w:r>
            <w:r>
              <w:rPr>
                <w:rFonts w:hint="eastAsia" w:ascii="方正小标宋_GBK" w:eastAsia="方正小标宋_GBK"/>
                <w:sz w:val="24"/>
                <w:lang w:val="en-US" w:eastAsia="zh-CN"/>
              </w:rPr>
              <w:t>1</w:t>
            </w:r>
            <w:r>
              <w:rPr>
                <w:rFonts w:hint="eastAsia" w:ascii="方正小标宋_GBK" w:eastAsia="方正小标宋_GBK"/>
                <w:sz w:val="24"/>
              </w:rPr>
              <w:t xml:space="preserve">年12月31日  </w:t>
            </w:r>
          </w:p>
        </w:tc>
      </w:tr>
      <w:tr>
        <w:tblPrEx>
          <w:tblCellMar>
            <w:top w:w="0" w:type="dxa"/>
            <w:left w:w="108" w:type="dxa"/>
            <w:bottom w:w="0" w:type="dxa"/>
            <w:right w:w="108" w:type="dxa"/>
          </w:tblCellMar>
        </w:tblPrEx>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价值（金额单位：万元）</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hAnsi="宋体" w:eastAsia="方正书宋_GBK" w:cs="宋体"/>
                <w:kern w:val="0"/>
                <w:szCs w:val="21"/>
              </w:rPr>
            </w:pPr>
            <w:r>
              <w:rPr>
                <w:rFonts w:hint="eastAsia" w:ascii="方正书宋_GBK" w:hAnsi="宋体" w:eastAsia="方正书宋_GBK" w:cs="宋体"/>
                <w:kern w:val="0"/>
                <w:szCs w:val="21"/>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b/>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2、车辆（台、辆）</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default" w:ascii="方正书宋_GBK" w:eastAsia="方正书宋_GBK"/>
                <w:szCs w:val="21"/>
                <w:lang w:val="en-US" w:eastAsia="zh-CN"/>
              </w:rPr>
            </w:pPr>
            <w:r>
              <w:rPr>
                <w:rFonts w:hint="eastAsia" w:ascii="方正书宋_GBK" w:eastAsia="方正书宋_GBK"/>
                <w:szCs w:val="21"/>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default" w:ascii="方正书宋_GBK" w:eastAsia="方正书宋_GBK"/>
                <w:szCs w:val="21"/>
                <w:lang w:val="en-US" w:eastAsia="zh-CN"/>
              </w:rPr>
            </w:pPr>
            <w:r>
              <w:rPr>
                <w:rFonts w:hint="eastAsia" w:ascii="方正书宋_GBK" w:eastAsia="方正书宋_GBK"/>
                <w:szCs w:val="21"/>
                <w:lang w:val="en-US" w:eastAsia="zh-CN"/>
              </w:rPr>
              <w:t>2.891072</w:t>
            </w:r>
          </w:p>
        </w:tc>
      </w:tr>
    </w:tbl>
    <w:p>
      <w:pPr>
        <w:autoSpaceDE w:val="0"/>
        <w:autoSpaceDN w:val="0"/>
        <w:adjustRightInd w:val="0"/>
        <w:ind w:left="198" w:firstLine="640" w:firstLineChars="200"/>
        <w:jc w:val="left"/>
        <w:rPr>
          <w:rFonts w:ascii="黑体" w:hAnsi="黑体" w:eastAsia="黑体"/>
          <w:sz w:val="32"/>
          <w:szCs w:val="32"/>
        </w:rPr>
      </w:pPr>
    </w:p>
    <w:p>
      <w:pPr>
        <w:autoSpaceDE w:val="0"/>
        <w:autoSpaceDN w:val="0"/>
        <w:adjustRightInd w:val="0"/>
        <w:ind w:left="198" w:firstLine="640" w:firstLineChars="200"/>
        <w:jc w:val="left"/>
        <w:rPr>
          <w:rFonts w:ascii="黑体" w:hAnsi="黑体" w:eastAsia="黑体"/>
          <w:sz w:val="32"/>
          <w:szCs w:val="32"/>
        </w:rPr>
      </w:pPr>
    </w:p>
    <w:p>
      <w:pPr>
        <w:pStyle w:val="3"/>
        <w:ind w:firstLine="640" w:firstLineChars="200"/>
        <w:jc w:val="left"/>
        <w:rPr>
          <w:rFonts w:ascii="黑体" w:hAnsi="黑体" w:eastAsia="黑体"/>
          <w:sz w:val="32"/>
        </w:rPr>
      </w:pPr>
      <w:bookmarkStart w:id="19" w:name="_Toc62828924"/>
      <w:r>
        <w:rPr>
          <w:rFonts w:hint="eastAsia" w:ascii="方正黑体_GBK" w:eastAsia="方正黑体_GBK"/>
          <w:sz w:val="32"/>
        </w:rPr>
        <w:t>八、名词解释</w:t>
      </w:r>
      <w:bookmarkEnd w:id="19"/>
    </w:p>
    <w:p>
      <w:pPr>
        <w:spacing w:line="500" w:lineRule="exact"/>
        <w:ind w:firstLine="560" w:firstLineChars="200"/>
        <w:jc w:val="left"/>
        <w:rPr>
          <w:rFonts w:eastAsia="方正仿宋_GBK"/>
          <w:sz w:val="28"/>
        </w:rPr>
      </w:pPr>
      <w:r>
        <w:rPr>
          <w:rFonts w:eastAsia="方正仿宋_GBK"/>
          <w:sz w:val="28"/>
        </w:rPr>
        <w:t>1、</w:t>
      </w:r>
      <w:r>
        <w:rPr>
          <w:rFonts w:eastAsia="方正仿宋_GBK"/>
          <w:b/>
          <w:sz w:val="28"/>
        </w:rPr>
        <w:t>一般</w:t>
      </w:r>
      <w:r>
        <w:rPr>
          <w:rFonts w:hint="eastAsia" w:eastAsia="方正仿宋_GBK"/>
          <w:b/>
          <w:sz w:val="28"/>
        </w:rPr>
        <w:t>公</w:t>
      </w:r>
      <w:r>
        <w:rPr>
          <w:rFonts w:eastAsia="方正仿宋_GBK"/>
          <w:b/>
          <w:sz w:val="28"/>
        </w:rPr>
        <w:t>共预算拨款收入：</w:t>
      </w:r>
      <w:r>
        <w:rPr>
          <w:rFonts w:eastAsia="方正仿宋_GBK"/>
          <w:sz w:val="28"/>
        </w:rPr>
        <w:t>指</w:t>
      </w:r>
      <w:r>
        <w:rPr>
          <w:rFonts w:hint="eastAsia" w:eastAsia="方正仿宋_GBK"/>
          <w:sz w:val="28"/>
          <w:lang w:val="en-US" w:eastAsia="zh-CN"/>
        </w:rPr>
        <w:t>区</w:t>
      </w:r>
      <w:r>
        <w:rPr>
          <w:rFonts w:eastAsia="方正仿宋_GBK"/>
          <w:sz w:val="28"/>
        </w:rPr>
        <w:t>级财政当年拨付的资金。</w:t>
      </w:r>
    </w:p>
    <w:p>
      <w:pPr>
        <w:spacing w:line="500" w:lineRule="exact"/>
        <w:ind w:firstLine="560" w:firstLineChars="200"/>
        <w:jc w:val="left"/>
        <w:rPr>
          <w:rFonts w:eastAsia="方正仿宋_GBK"/>
          <w:sz w:val="28"/>
        </w:rPr>
      </w:pPr>
      <w:r>
        <w:rPr>
          <w:rFonts w:eastAsia="方正仿宋_GBK"/>
          <w:sz w:val="28"/>
        </w:rPr>
        <w:t>2、</w:t>
      </w:r>
      <w:r>
        <w:rPr>
          <w:rFonts w:eastAsia="方正仿宋_GBK"/>
          <w:b/>
          <w:sz w:val="28"/>
        </w:rPr>
        <w:t>事业收入：</w:t>
      </w:r>
      <w:r>
        <w:rPr>
          <w:rFonts w:eastAsia="方正仿宋_GBK"/>
          <w:sz w:val="28"/>
        </w:rPr>
        <w:t>指事业单位开展专业业务活动及辅助活动所取得的收入。</w:t>
      </w:r>
    </w:p>
    <w:p>
      <w:pPr>
        <w:spacing w:line="500" w:lineRule="exact"/>
        <w:ind w:firstLine="560" w:firstLineChars="200"/>
        <w:jc w:val="left"/>
        <w:rPr>
          <w:rFonts w:eastAsia="方正仿宋_GBK"/>
          <w:sz w:val="28"/>
        </w:rPr>
      </w:pPr>
      <w:r>
        <w:rPr>
          <w:rFonts w:eastAsia="方正仿宋_GBK"/>
          <w:sz w:val="28"/>
        </w:rPr>
        <w:t>3、</w:t>
      </w:r>
      <w:r>
        <w:rPr>
          <w:rFonts w:eastAsia="方正仿宋_GBK"/>
          <w:b/>
          <w:sz w:val="28"/>
        </w:rPr>
        <w:t>其他收入：</w:t>
      </w:r>
      <w:r>
        <w:rPr>
          <w:rFonts w:eastAsia="方正仿宋_GBK"/>
          <w:sz w:val="28"/>
        </w:rPr>
        <w:t>指除“</w:t>
      </w:r>
      <w:r>
        <w:rPr>
          <w:rFonts w:hint="eastAsia" w:eastAsia="方正仿宋_GBK"/>
          <w:sz w:val="28"/>
        </w:rPr>
        <w:t>一般公共预算</w:t>
      </w:r>
      <w:r>
        <w:rPr>
          <w:rFonts w:eastAsia="方正仿宋_GBK"/>
          <w:sz w:val="28"/>
        </w:rPr>
        <w:t>拨款收入”、“事业收入”等以外的收入。主要是按规定动用的租房收入、存款利息收入等。</w:t>
      </w:r>
    </w:p>
    <w:p>
      <w:pPr>
        <w:spacing w:line="500" w:lineRule="exact"/>
        <w:ind w:firstLine="560" w:firstLineChars="200"/>
        <w:jc w:val="left"/>
        <w:rPr>
          <w:rFonts w:eastAsia="方正仿宋_GBK"/>
          <w:sz w:val="28"/>
        </w:rPr>
      </w:pPr>
      <w:r>
        <w:rPr>
          <w:rFonts w:eastAsia="方正仿宋_GBK"/>
          <w:sz w:val="28"/>
        </w:rPr>
        <w:t>4、</w:t>
      </w:r>
      <w:r>
        <w:rPr>
          <w:rFonts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eastAsia="方正仿宋_GBK"/>
          <w:sz w:val="28"/>
        </w:rPr>
      </w:pPr>
      <w:r>
        <w:rPr>
          <w:rFonts w:eastAsia="方正仿宋_GBK"/>
          <w:sz w:val="28"/>
        </w:rPr>
        <w:t>5、</w:t>
      </w:r>
      <w:r>
        <w:rPr>
          <w:rFonts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eastAsia="方正仿宋_GBK"/>
          <w:sz w:val="28"/>
        </w:rPr>
      </w:pPr>
      <w:r>
        <w:rPr>
          <w:rFonts w:eastAsia="方正仿宋_GBK"/>
          <w:sz w:val="28"/>
        </w:rPr>
        <w:t>6、</w:t>
      </w:r>
      <w:r>
        <w:rPr>
          <w:rFonts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eastAsia="方正仿宋_GBK"/>
          <w:sz w:val="28"/>
        </w:rPr>
      </w:pPr>
      <w:r>
        <w:rPr>
          <w:rFonts w:eastAsia="方正仿宋_GBK"/>
          <w:sz w:val="28"/>
        </w:rPr>
        <w:t>7、</w:t>
      </w:r>
      <w:r>
        <w:rPr>
          <w:rFonts w:eastAsia="方正仿宋_GBK"/>
          <w:b/>
          <w:sz w:val="28"/>
        </w:rPr>
        <w:t>“三公”经费：</w:t>
      </w:r>
      <w:r>
        <w:rPr>
          <w:rFonts w:eastAsia="方正仿宋_GBK"/>
          <w:sz w:val="28"/>
        </w:rPr>
        <w:t>纳入级财政预算管理的“三公”经费，是指</w:t>
      </w:r>
      <w:r>
        <w:rPr>
          <w:rFonts w:hint="eastAsia" w:eastAsia="方正仿宋_GBK"/>
          <w:sz w:val="28"/>
          <w:lang w:val="en-US" w:eastAsia="zh-CN"/>
        </w:rPr>
        <w:t>区</w:t>
      </w:r>
      <w:r>
        <w:rPr>
          <w:rFonts w:eastAsia="方正仿宋_GBK"/>
          <w:sz w:val="28"/>
        </w:rPr>
        <w:t>级部门用财政拨款安排的因公出国（境）费、公务用车购置及运</w:t>
      </w:r>
      <w:r>
        <w:rPr>
          <w:rFonts w:hint="eastAsia" w:eastAsia="方正仿宋_GBK"/>
          <w:sz w:val="28"/>
        </w:rPr>
        <w:t>维</w:t>
      </w:r>
      <w:r>
        <w:rPr>
          <w:rFonts w:eastAsia="方正仿宋_GBK"/>
          <w:sz w:val="28"/>
        </w:rPr>
        <w:t>费和公务接待费。其中，因公出国（境）费反映单位公务出国（境）的住宿费、旅费、伙食补助费、杂费、培训费等支出；公务用车购置及运</w:t>
      </w:r>
      <w:r>
        <w:rPr>
          <w:rFonts w:hint="eastAsia" w:eastAsia="方正仿宋_GBK"/>
          <w:sz w:val="28"/>
        </w:rPr>
        <w:t>维</w:t>
      </w:r>
      <w:r>
        <w:rPr>
          <w:rFonts w:eastAsia="方正仿宋_GBK"/>
          <w:sz w:val="28"/>
        </w:rPr>
        <w:t>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eastAsia="方正仿宋_GBK"/>
          <w:sz w:val="28"/>
        </w:rPr>
      </w:pPr>
      <w:r>
        <w:rPr>
          <w:rFonts w:eastAsia="方正仿宋_GBK"/>
          <w:sz w:val="28"/>
        </w:rPr>
        <w:t>8、</w:t>
      </w:r>
      <w:r>
        <w:rPr>
          <w:rFonts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w:t>
      </w:r>
      <w:r>
        <w:rPr>
          <w:rFonts w:eastAsia="方正仿宋_GBK"/>
          <w:sz w:val="28"/>
        </w:rPr>
        <w:t>其他费用。</w:t>
      </w:r>
    </w:p>
    <w:p>
      <w:pPr>
        <w:spacing w:line="500" w:lineRule="exact"/>
        <w:ind w:firstLine="560" w:firstLineChars="200"/>
        <w:jc w:val="left"/>
        <w:rPr>
          <w:rFonts w:eastAsia="方正仿宋_GBK"/>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eastAsia="方正仿宋_GBK"/>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pStyle w:val="3"/>
        <w:ind w:firstLine="640" w:firstLineChars="200"/>
        <w:jc w:val="left"/>
        <w:rPr>
          <w:rFonts w:ascii="黑体" w:hAnsi="黑体" w:eastAsia="黑体"/>
          <w:sz w:val="32"/>
        </w:rPr>
      </w:pPr>
      <w:bookmarkStart w:id="20" w:name="_Toc62828925"/>
      <w:r>
        <w:rPr>
          <w:rFonts w:hint="eastAsia" w:ascii="方正黑体_GBK" w:eastAsia="方正黑体_GBK"/>
          <w:sz w:val="32"/>
        </w:rPr>
        <w:t>九、其他需要说明的事项</w:t>
      </w:r>
      <w:bookmarkEnd w:id="20"/>
    </w:p>
    <w:p>
      <w:pPr>
        <w:ind w:firstLine="560" w:firstLineChars="200"/>
        <w:rPr>
          <w:rFonts w:ascii="仿宋_GB2312" w:eastAsia="仿宋_GB2312"/>
          <w:sz w:val="32"/>
          <w:szCs w:val="32"/>
        </w:rPr>
      </w:pPr>
      <w:r>
        <w:rPr>
          <w:rFonts w:hint="eastAsia" w:eastAsia="方正仿宋_GBK"/>
          <w:sz w:val="28"/>
        </w:rPr>
        <w:t>我部门无其他需要说明的事项。</w:t>
      </w:r>
    </w:p>
    <w:p>
      <w:pPr>
        <w:autoSpaceDE w:val="0"/>
        <w:autoSpaceDN w:val="0"/>
        <w:adjustRightInd w:val="0"/>
        <w:ind w:firstLine="480" w:firstLineChars="200"/>
        <w:jc w:val="left"/>
        <w:rPr>
          <w:rFonts w:ascii="仿宋_GB2312" w:hAnsi="仿宋_GB2312" w:eastAsia="仿宋_GB2312" w:cs="仿宋_GB2312"/>
          <w:sz w:val="24"/>
          <w:highlight w:val="green"/>
        </w:rPr>
      </w:pPr>
    </w:p>
    <w:p>
      <w:pPr>
        <w:widowControl/>
        <w:jc w:val="left"/>
        <w:rPr>
          <w:rFonts w:ascii="仿宋_GB2312" w:hAnsi="仿宋_GB2312" w:eastAsia="仿宋_GB2312" w:cs="仿宋_GB2312"/>
          <w:sz w:val="24"/>
          <w:highlight w:val="green"/>
        </w:rPr>
      </w:pPr>
    </w:p>
    <w:p>
      <w:pPr>
        <w:widowControl/>
        <w:jc w:val="left"/>
        <w:rPr>
          <w:rFonts w:ascii="仿宋_GB2312" w:hAnsi="仿宋_GB2312" w:eastAsia="仿宋_GB2312" w:cs="仿宋_GB2312"/>
          <w:sz w:val="24"/>
        </w:rPr>
      </w:pPr>
      <w:r>
        <w:rPr>
          <w:rFonts w:ascii="仿宋_GB2312" w:hAnsi="仿宋_GB2312" w:eastAsia="仿宋_GB2312" w:cs="仿宋_GB2312"/>
          <w:sz w:val="24"/>
        </w:rPr>
        <w:br w:type="page"/>
      </w:r>
    </w:p>
    <w:p>
      <w:pPr>
        <w:widowControl/>
        <w:jc w:val="left"/>
        <w:rPr>
          <w:rFonts w:hint="eastAsia" w:eastAsia="方正小标宋_GBK"/>
          <w:bCs/>
          <w:kern w:val="44"/>
          <w:sz w:val="44"/>
          <w:szCs w:val="44"/>
        </w:rPr>
      </w:pPr>
      <w:bookmarkStart w:id="21" w:name="_Toc62828926"/>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hint="eastAsia" w:eastAsia="方正小标宋_GBK"/>
          <w:bCs/>
          <w:kern w:val="44"/>
          <w:sz w:val="44"/>
          <w:szCs w:val="44"/>
        </w:rPr>
      </w:pPr>
    </w:p>
    <w:p>
      <w:pPr>
        <w:widowControl/>
        <w:jc w:val="left"/>
        <w:rPr>
          <w:rFonts w:eastAsia="方正小标宋_GBK"/>
          <w:bCs/>
          <w:kern w:val="44"/>
          <w:sz w:val="44"/>
          <w:szCs w:val="44"/>
        </w:rPr>
      </w:pPr>
    </w:p>
    <w:p>
      <w:pPr>
        <w:jc w:val="center"/>
        <w:rPr>
          <w:rFonts w:hint="eastAsia" w:ascii="方正小标宋_GBK" w:eastAsia="方正小标宋_GBK"/>
          <w:sz w:val="72"/>
          <w:szCs w:val="72"/>
        </w:rPr>
        <w:sectPr>
          <w:pgSz w:w="16838" w:h="11906" w:orient="landscape"/>
          <w:pgMar w:top="1800" w:right="1440" w:bottom="1800" w:left="1440" w:header="851" w:footer="992" w:gutter="0"/>
          <w:cols w:space="720" w:num="1"/>
          <w:docGrid w:type="lines" w:linePitch="312" w:charSpace="0"/>
        </w:sectPr>
      </w:pPr>
      <w:r>
        <w:rPr>
          <w:rFonts w:hint="eastAsia" w:ascii="方正小标宋_GBK" w:eastAsia="方正小标宋_GBK"/>
          <w:sz w:val="72"/>
          <w:szCs w:val="72"/>
        </w:rPr>
        <w:t>第二部分  部门所属单位预算</w:t>
      </w:r>
    </w:p>
    <w:p>
      <w:pPr>
        <w:pStyle w:val="2"/>
      </w:pPr>
      <w:r>
        <w:rPr>
          <w:rFonts w:hint="eastAsia"/>
        </w:rPr>
        <w:t>一、</w:t>
      </w:r>
      <w:r>
        <w:rPr>
          <w:rFonts w:hint="eastAsia"/>
          <w:lang w:val="en-US" w:eastAsia="zh-CN"/>
        </w:rPr>
        <w:t>中共承德市鹰手营子矿区委机构编制委员会办公室</w:t>
      </w:r>
      <w:r>
        <w:rPr>
          <w:rFonts w:hint="eastAsia"/>
        </w:rPr>
        <w:t>本级预算信息公开</w:t>
      </w:r>
      <w:bookmarkEnd w:id="21"/>
    </w:p>
    <w:p>
      <w:pPr>
        <w:pStyle w:val="3"/>
        <w:rPr>
          <w:highlight w:val="green"/>
        </w:rPr>
      </w:pPr>
      <w:r>
        <w:rPr>
          <w:rFonts w:hint="eastAsia"/>
        </w:rPr>
        <w:t>部门预算收支总表</w:t>
      </w:r>
    </w:p>
    <w:tbl>
      <w:tblPr>
        <w:tblStyle w:val="11"/>
        <w:tblW w:w="1390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4602"/>
        <w:gridCol w:w="2268"/>
        <w:gridCol w:w="425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blHeader/>
        </w:trPr>
        <w:tc>
          <w:tcPr>
            <w:tcW w:w="13907" w:type="dxa"/>
            <w:gridSpan w:val="5"/>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预算年度：20</w:t>
            </w:r>
            <w:r>
              <w:rPr>
                <w:rFonts w:hint="eastAsia" w:ascii="方正小标宋_GBK" w:eastAsia="方正小标宋_GBK"/>
                <w:bCs/>
                <w:kern w:val="0"/>
                <w:sz w:val="24"/>
                <w:lang w:val="en-US" w:eastAsia="zh-CN"/>
              </w:rPr>
              <w:t>22</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6870"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收入</w:t>
            </w:r>
          </w:p>
        </w:tc>
        <w:tc>
          <w:tcPr>
            <w:tcW w:w="6237"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vMerge w:val="continue"/>
            <w:vAlign w:val="center"/>
          </w:tcPr>
          <w:p>
            <w:pPr>
              <w:widowControl/>
              <w:adjustRightInd w:val="0"/>
              <w:snapToGrid w:val="0"/>
              <w:jc w:val="center"/>
              <w:rPr>
                <w:rFonts w:ascii="方正书宋_GBK" w:eastAsia="方正书宋_GBK"/>
                <w:b/>
                <w:bCs/>
                <w:kern w:val="0"/>
                <w:szCs w:val="21"/>
              </w:rPr>
            </w:pPr>
          </w:p>
        </w:tc>
        <w:tc>
          <w:tcPr>
            <w:tcW w:w="460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    目</w:t>
            </w:r>
          </w:p>
        </w:tc>
        <w:tc>
          <w:tcPr>
            <w:tcW w:w="2268"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预算数</w:t>
            </w:r>
          </w:p>
        </w:tc>
        <w:tc>
          <w:tcPr>
            <w:tcW w:w="425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    目</w:t>
            </w:r>
          </w:p>
        </w:tc>
        <w:tc>
          <w:tcPr>
            <w:tcW w:w="198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460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2268"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425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198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一、财政拨款收入</w:t>
            </w:r>
          </w:p>
        </w:tc>
        <w:tc>
          <w:tcPr>
            <w:tcW w:w="2268"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60.20</w:t>
            </w: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一、一般公共服务支出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二、上级拨款收入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二、外交支出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三、事业收入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三、国防支出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4602" w:type="dxa"/>
            <w:shd w:val="clear" w:color="auto" w:fill="auto"/>
            <w:noWrap/>
            <w:vAlign w:val="center"/>
          </w:tcPr>
          <w:p>
            <w:pPr>
              <w:widowControl/>
              <w:adjustRightInd w:val="0"/>
              <w:snapToGrid w:val="0"/>
              <w:ind w:firstLine="420" w:firstLineChars="200"/>
              <w:jc w:val="left"/>
              <w:rPr>
                <w:rFonts w:ascii="方正书宋_GBK" w:eastAsia="方正书宋_GBK"/>
                <w:kern w:val="0"/>
                <w:szCs w:val="21"/>
              </w:rPr>
            </w:pPr>
            <w:r>
              <w:rPr>
                <w:rFonts w:hint="eastAsia" w:ascii="方正书宋_GBK" w:eastAsia="方正书宋_GBK"/>
                <w:kern w:val="0"/>
                <w:szCs w:val="21"/>
              </w:rPr>
              <w:t>其中：财政专户收入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四、公共安全支出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四、经营收入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五、教育支出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五、附属单位上缴收入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六、科学技术支出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460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六、其他收入</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七、文化旅游体育与传媒支出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八、社会保障和就业支出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九、社会保险基金支出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十、卫生健康支出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十一、节能环保支出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十二、城乡社区支出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十三、农林水支出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十四、交通运输支出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十五、资源勘探工业信息等支出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十六、商业服务业等支出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十七、金融支出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十八、援助其他地区支出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19</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十九、自然资源海洋气象等支出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20</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二十、住房保障支出</w:t>
            </w:r>
          </w:p>
        </w:tc>
        <w:tc>
          <w:tcPr>
            <w:tcW w:w="1985"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21</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二十一、粮油物资储备支出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22</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二十二、国有资本经营预算支出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二十三、灾害防治及应急管理支出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二十四、其他支出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二十五、转移性支出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二十六、债务还本支出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二十七、债务付息支出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二十八、债务发行费用支出</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23</w:t>
            </w:r>
          </w:p>
        </w:tc>
        <w:tc>
          <w:tcPr>
            <w:tcW w:w="4602"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本年收入合计</w:t>
            </w:r>
          </w:p>
        </w:tc>
        <w:tc>
          <w:tcPr>
            <w:tcW w:w="2268"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4252"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本年支出合计</w:t>
            </w:r>
          </w:p>
        </w:tc>
        <w:tc>
          <w:tcPr>
            <w:tcW w:w="1985"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24</w:t>
            </w:r>
          </w:p>
        </w:tc>
        <w:tc>
          <w:tcPr>
            <w:tcW w:w="4602" w:type="dxa"/>
            <w:shd w:val="clear" w:color="auto" w:fill="auto"/>
            <w:noWrap/>
            <w:vAlign w:val="center"/>
          </w:tcPr>
          <w:p>
            <w:pPr>
              <w:widowControl/>
              <w:adjustRightInd w:val="0"/>
              <w:snapToGrid w:val="0"/>
              <w:jc w:val="center"/>
              <w:rPr>
                <w:rFonts w:ascii="方正书宋_GBK" w:hAnsi="宋体" w:eastAsia="方正书宋_GBK" w:cs="宋体"/>
                <w:kern w:val="0"/>
                <w:szCs w:val="21"/>
              </w:rPr>
            </w:pPr>
            <w:r>
              <w:rPr>
                <w:rFonts w:hint="eastAsia" w:ascii="方正书宋_GBK" w:hAnsi="宋体" w:eastAsia="方正书宋_GBK" w:cs="宋体"/>
                <w:kern w:val="0"/>
                <w:szCs w:val="21"/>
              </w:rPr>
              <w:t>上年结转</w:t>
            </w: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结转下年</w:t>
            </w: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25</w:t>
            </w:r>
          </w:p>
        </w:tc>
        <w:tc>
          <w:tcPr>
            <w:tcW w:w="4602" w:type="dxa"/>
            <w:shd w:val="clear" w:color="auto" w:fill="auto"/>
            <w:noWrap/>
            <w:vAlign w:val="center"/>
          </w:tcPr>
          <w:p>
            <w:pPr>
              <w:widowControl/>
              <w:adjustRightInd w:val="0"/>
              <w:snapToGrid w:val="0"/>
              <w:jc w:val="center"/>
              <w:rPr>
                <w:rFonts w:ascii="方正书宋_GBK" w:eastAsia="方正书宋_GBK"/>
                <w:kern w:val="0"/>
                <w:szCs w:val="21"/>
              </w:rPr>
            </w:pPr>
          </w:p>
        </w:tc>
        <w:tc>
          <w:tcPr>
            <w:tcW w:w="2268" w:type="dxa"/>
            <w:shd w:val="clear" w:color="auto" w:fill="auto"/>
            <w:noWrap/>
            <w:vAlign w:val="center"/>
          </w:tcPr>
          <w:p>
            <w:pPr>
              <w:widowControl/>
              <w:adjustRightInd w:val="0"/>
              <w:snapToGrid w:val="0"/>
              <w:jc w:val="center"/>
              <w:rPr>
                <w:rFonts w:ascii="方正书宋_GBK" w:eastAsia="方正书宋_GBK"/>
                <w:kern w:val="0"/>
                <w:szCs w:val="21"/>
              </w:rPr>
            </w:pPr>
          </w:p>
        </w:tc>
        <w:tc>
          <w:tcPr>
            <w:tcW w:w="4252" w:type="dxa"/>
            <w:shd w:val="clear" w:color="auto" w:fill="auto"/>
            <w:noWrap/>
            <w:vAlign w:val="center"/>
          </w:tcPr>
          <w:p>
            <w:pPr>
              <w:widowControl/>
              <w:adjustRightInd w:val="0"/>
              <w:snapToGrid w:val="0"/>
              <w:jc w:val="center"/>
              <w:rPr>
                <w:rFonts w:ascii="方正书宋_GBK" w:eastAsia="方正书宋_GBK"/>
                <w:kern w:val="0"/>
                <w:szCs w:val="21"/>
              </w:rPr>
            </w:pPr>
          </w:p>
        </w:tc>
        <w:tc>
          <w:tcPr>
            <w:tcW w:w="1985"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00"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26</w:t>
            </w:r>
          </w:p>
        </w:tc>
        <w:tc>
          <w:tcPr>
            <w:tcW w:w="4602" w:type="dxa"/>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2268"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4252" w:type="dxa"/>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1985"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r>
    </w:tbl>
    <w:p>
      <w:pPr>
        <w:autoSpaceDE w:val="0"/>
        <w:autoSpaceDN w:val="0"/>
        <w:adjustRightInd w:val="0"/>
        <w:ind w:firstLine="600" w:firstLineChars="200"/>
        <w:jc w:val="left"/>
        <w:rPr>
          <w:rFonts w:ascii="仿宋_GB2312" w:hAnsi="仿宋_GB2312" w:eastAsia="仿宋_GB2312" w:cs="仿宋_GB2312"/>
          <w:sz w:val="30"/>
          <w:szCs w:val="30"/>
          <w:highlight w:val="green"/>
        </w:rPr>
        <w:sectPr>
          <w:pgSz w:w="16838" w:h="11906" w:orient="landscape"/>
          <w:pgMar w:top="1800" w:right="1440" w:bottom="1800" w:left="1440" w:header="851" w:footer="992" w:gutter="0"/>
          <w:cols w:space="720" w:num="1"/>
          <w:docGrid w:type="lines" w:linePitch="312" w:charSpace="0"/>
        </w:sectPr>
      </w:pPr>
    </w:p>
    <w:p>
      <w:pPr>
        <w:pStyle w:val="3"/>
      </w:pPr>
      <w:r>
        <w:rPr>
          <w:rFonts w:hint="eastAsia"/>
        </w:rPr>
        <w:t>部门预算收入总表</w:t>
      </w:r>
    </w:p>
    <w:tbl>
      <w:tblPr>
        <w:tblStyle w:val="11"/>
        <w:tblW w:w="140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92"/>
        <w:gridCol w:w="1560"/>
        <w:gridCol w:w="1134"/>
        <w:gridCol w:w="1134"/>
        <w:gridCol w:w="1134"/>
        <w:gridCol w:w="1134"/>
        <w:gridCol w:w="992"/>
        <w:gridCol w:w="1134"/>
        <w:gridCol w:w="992"/>
        <w:gridCol w:w="992"/>
        <w:gridCol w:w="10"/>
        <w:gridCol w:w="1124"/>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082" w:type="dxa"/>
            <w:gridSpan w:val="14"/>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预算年度：</w:t>
            </w:r>
            <w:r>
              <w:rPr>
                <w:rFonts w:ascii="方正小标宋_GBK" w:eastAsia="方正小标宋_GBK"/>
                <w:bCs/>
                <w:kern w:val="0"/>
                <w:sz w:val="24"/>
              </w:rPr>
              <w:t>20</w:t>
            </w:r>
            <w:r>
              <w:rPr>
                <w:rFonts w:hint="eastAsia" w:ascii="方正小标宋_GBK" w:eastAsia="方正小标宋_GBK"/>
                <w:bCs/>
                <w:kern w:val="0"/>
                <w:sz w:val="24"/>
                <w:lang w:val="en-US" w:eastAsia="zh-CN"/>
              </w:rPr>
              <w:t>22</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2552"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113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8646" w:type="dxa"/>
            <w:gridSpan w:val="9"/>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本年收入</w:t>
            </w:r>
          </w:p>
        </w:tc>
        <w:tc>
          <w:tcPr>
            <w:tcW w:w="1026"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上年</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1560"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小计</w:t>
            </w: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财政拨款收入</w:t>
            </w:r>
          </w:p>
        </w:tc>
        <w:tc>
          <w:tcPr>
            <w:tcW w:w="1134"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上级补助收入</w:t>
            </w:r>
          </w:p>
        </w:tc>
        <w:tc>
          <w:tcPr>
            <w:tcW w:w="2126" w:type="dxa"/>
            <w:gridSpan w:val="2"/>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事业收入</w:t>
            </w: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经营</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收入</w:t>
            </w:r>
          </w:p>
        </w:tc>
        <w:tc>
          <w:tcPr>
            <w:tcW w:w="992" w:type="dxa"/>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附属单位上缴收入</w:t>
            </w:r>
          </w:p>
        </w:tc>
        <w:tc>
          <w:tcPr>
            <w:tcW w:w="1134" w:type="dxa"/>
            <w:gridSpan w:val="2"/>
            <w:vMerge w:val="restart"/>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其他收入</w:t>
            </w:r>
          </w:p>
        </w:tc>
        <w:tc>
          <w:tcPr>
            <w:tcW w:w="1026"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blHeader/>
        </w:trPr>
        <w:tc>
          <w:tcPr>
            <w:tcW w:w="724"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560"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1134" w:type="dxa"/>
            <w:vMerge w:val="continue"/>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小计</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其中：财政专户收入</w:t>
            </w: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134" w:type="dxa"/>
            <w:gridSpan w:val="2"/>
            <w:vMerge w:val="continue"/>
            <w:vAlign w:val="center"/>
          </w:tcPr>
          <w:p>
            <w:pPr>
              <w:widowControl/>
              <w:adjustRightInd w:val="0"/>
              <w:snapToGrid w:val="0"/>
              <w:jc w:val="center"/>
              <w:rPr>
                <w:rFonts w:ascii="方正书宋_GBK" w:eastAsia="方正书宋_GBK"/>
                <w:b/>
                <w:bCs/>
                <w:kern w:val="0"/>
                <w:szCs w:val="21"/>
              </w:rPr>
            </w:pPr>
          </w:p>
        </w:tc>
        <w:tc>
          <w:tcPr>
            <w:tcW w:w="1026"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blHeader/>
        </w:trPr>
        <w:tc>
          <w:tcPr>
            <w:tcW w:w="724"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560"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c>
          <w:tcPr>
            <w:tcW w:w="113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8</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9</w:t>
            </w:r>
          </w:p>
        </w:tc>
        <w:tc>
          <w:tcPr>
            <w:tcW w:w="1002" w:type="dxa"/>
            <w:gridSpan w:val="2"/>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10</w:t>
            </w:r>
          </w:p>
        </w:tc>
        <w:tc>
          <w:tcPr>
            <w:tcW w:w="112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11</w:t>
            </w:r>
          </w:p>
        </w:tc>
        <w:tc>
          <w:tcPr>
            <w:tcW w:w="1026"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992" w:type="dxa"/>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560"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134" w:type="dxa"/>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1134" w:type="dxa"/>
            <w:shd w:val="clear" w:color="auto" w:fill="auto"/>
            <w:noWrap/>
            <w:vAlign w:val="center"/>
          </w:tcPr>
          <w:p>
            <w:pPr>
              <w:widowControl/>
              <w:adjustRightInd w:val="0"/>
              <w:snapToGrid w:val="0"/>
              <w:jc w:val="center"/>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203545.73</w:t>
            </w: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b/>
                <w:bCs/>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b/>
                <w:bCs/>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992"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201</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一般公共服务支出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992"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20</w:t>
            </w:r>
            <w:r>
              <w:rPr>
                <w:rFonts w:hint="eastAsia" w:ascii="方正书宋_GBK" w:hAnsi="宋体" w:eastAsia="方正书宋_GBK" w:cs="宋体"/>
                <w:kern w:val="0"/>
                <w:szCs w:val="21"/>
                <w:lang w:val="en-US" w:eastAsia="zh-CN"/>
              </w:rPr>
              <w:t>132</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组织</w:t>
            </w:r>
            <w:r>
              <w:rPr>
                <w:rFonts w:hint="eastAsia" w:ascii="方正书宋_GBK" w:hAnsi="宋体" w:eastAsia="方正书宋_GBK" w:cs="宋体"/>
                <w:kern w:val="0"/>
                <w:szCs w:val="21"/>
              </w:rPr>
              <w:t>事务</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992"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201</w:t>
            </w:r>
            <w:r>
              <w:rPr>
                <w:rFonts w:hint="eastAsia" w:ascii="方正书宋_GBK" w:hAnsi="宋体" w:eastAsia="方正书宋_GBK" w:cs="宋体"/>
                <w:kern w:val="0"/>
                <w:szCs w:val="21"/>
                <w:lang w:val="en-US" w:eastAsia="zh-CN"/>
              </w:rPr>
              <w:t>3201</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行政运行</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50.19</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hAnsi="宋体" w:eastAsia="方正书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5</w:t>
            </w:r>
          </w:p>
        </w:tc>
        <w:tc>
          <w:tcPr>
            <w:tcW w:w="992"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208</w:t>
            </w:r>
          </w:p>
        </w:tc>
        <w:tc>
          <w:tcPr>
            <w:tcW w:w="1560" w:type="dxa"/>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社会保障和就业支出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4.53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4.53</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4.53</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6</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行政事业单位养老支出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7</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2080505</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机关事业单位基本养老保险缴费支出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4.37</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8</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财政对其他社会保险基金的补助</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724" w:type="dxa"/>
            <w:shd w:val="clear" w:color="auto" w:fill="auto"/>
            <w:noWrap/>
            <w:vAlign w:val="center"/>
          </w:tcPr>
          <w:p>
            <w:pPr>
              <w:widowControl/>
              <w:adjustRightInd w:val="0"/>
              <w:snapToGrid w:val="0"/>
              <w:jc w:val="center"/>
              <w:rPr>
                <w:rFonts w:hint="eastAsia" w:ascii="方正书宋_GBK" w:eastAsia="方正书宋_GBK"/>
                <w:kern w:val="0"/>
                <w:szCs w:val="21"/>
                <w:lang w:eastAsia="zh-CN"/>
              </w:rPr>
            </w:pPr>
            <w:r>
              <w:rPr>
                <w:rFonts w:hint="eastAsia" w:ascii="方正书宋_GBK" w:eastAsia="方正书宋_GBK"/>
                <w:kern w:val="0"/>
                <w:szCs w:val="21"/>
                <w:lang w:val="en-US" w:eastAsia="zh-CN"/>
              </w:rPr>
              <w:t>9</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2082702</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财政对工伤保险基金的补助</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0.16</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10</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卫生健康支出</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11</w:t>
            </w:r>
          </w:p>
        </w:tc>
        <w:tc>
          <w:tcPr>
            <w:tcW w:w="992"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w:t>
            </w:r>
          </w:p>
        </w:tc>
        <w:tc>
          <w:tcPr>
            <w:tcW w:w="1560" w:type="dxa"/>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行政事业单位医疗</w:t>
            </w:r>
          </w:p>
        </w:tc>
        <w:tc>
          <w:tcPr>
            <w:tcW w:w="1134" w:type="dxa"/>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12</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2101101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行政单位医疗</w:t>
            </w:r>
          </w:p>
        </w:tc>
        <w:tc>
          <w:tcPr>
            <w:tcW w:w="1134"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2.20</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13</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住房保障支出</w:t>
            </w:r>
          </w:p>
        </w:tc>
        <w:tc>
          <w:tcPr>
            <w:tcW w:w="1134"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14</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住房改革支出</w:t>
            </w:r>
          </w:p>
        </w:tc>
        <w:tc>
          <w:tcPr>
            <w:tcW w:w="1134"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24" w:type="dxa"/>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15</w:t>
            </w:r>
          </w:p>
        </w:tc>
        <w:tc>
          <w:tcPr>
            <w:tcW w:w="992"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2210201</w:t>
            </w:r>
          </w:p>
        </w:tc>
        <w:tc>
          <w:tcPr>
            <w:tcW w:w="1560" w:type="dxa"/>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1134" w:type="dxa"/>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lang w:val="en-US" w:eastAsia="zh-CN"/>
              </w:rPr>
              <w:t>3.28</w:t>
            </w: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134" w:type="dxa"/>
            <w:shd w:val="clear" w:color="auto" w:fill="auto"/>
            <w:noWrap/>
            <w:vAlign w:val="center"/>
          </w:tcPr>
          <w:p>
            <w:pPr>
              <w:widowControl/>
              <w:adjustRightInd w:val="0"/>
              <w:snapToGrid w:val="0"/>
              <w:jc w:val="center"/>
              <w:rPr>
                <w:rFonts w:ascii="方正书宋_GBK" w:eastAsia="方正书宋_GBK"/>
                <w:kern w:val="0"/>
                <w:szCs w:val="21"/>
              </w:rPr>
            </w:pPr>
          </w:p>
        </w:tc>
        <w:tc>
          <w:tcPr>
            <w:tcW w:w="992" w:type="dxa"/>
            <w:shd w:val="clear" w:color="auto" w:fill="auto"/>
            <w:noWrap/>
            <w:vAlign w:val="center"/>
          </w:tcPr>
          <w:p>
            <w:pPr>
              <w:widowControl/>
              <w:adjustRightInd w:val="0"/>
              <w:snapToGrid w:val="0"/>
              <w:jc w:val="center"/>
              <w:rPr>
                <w:rFonts w:ascii="方正书宋_GBK" w:eastAsia="方正书宋_GBK"/>
                <w:kern w:val="0"/>
                <w:szCs w:val="21"/>
              </w:rPr>
            </w:pPr>
          </w:p>
        </w:tc>
        <w:tc>
          <w:tcPr>
            <w:tcW w:w="1002" w:type="dxa"/>
            <w:gridSpan w:val="2"/>
            <w:shd w:val="clear" w:color="auto" w:fill="auto"/>
            <w:noWrap/>
            <w:vAlign w:val="center"/>
          </w:tcPr>
          <w:p>
            <w:pPr>
              <w:widowControl/>
              <w:adjustRightInd w:val="0"/>
              <w:snapToGrid w:val="0"/>
              <w:jc w:val="center"/>
              <w:rPr>
                <w:rFonts w:ascii="方正书宋_GBK" w:eastAsia="方正书宋_GBK"/>
                <w:kern w:val="0"/>
                <w:szCs w:val="21"/>
              </w:rPr>
            </w:pPr>
          </w:p>
        </w:tc>
        <w:tc>
          <w:tcPr>
            <w:tcW w:w="1124" w:type="dxa"/>
            <w:shd w:val="clear" w:color="auto" w:fill="auto"/>
            <w:noWrap/>
            <w:vAlign w:val="center"/>
          </w:tcPr>
          <w:p>
            <w:pPr>
              <w:widowControl/>
              <w:adjustRightInd w:val="0"/>
              <w:snapToGrid w:val="0"/>
              <w:jc w:val="center"/>
              <w:rPr>
                <w:rFonts w:ascii="方正书宋_GBK" w:eastAsia="方正书宋_GBK"/>
                <w:kern w:val="0"/>
                <w:szCs w:val="21"/>
              </w:rPr>
            </w:pPr>
          </w:p>
        </w:tc>
        <w:tc>
          <w:tcPr>
            <w:tcW w:w="1026" w:type="dxa"/>
            <w:shd w:val="clear" w:color="auto" w:fill="auto"/>
            <w:noWrap/>
            <w:vAlign w:val="center"/>
          </w:tcPr>
          <w:p>
            <w:pPr>
              <w:widowControl/>
              <w:adjustRightInd w:val="0"/>
              <w:snapToGrid w:val="0"/>
              <w:jc w:val="center"/>
              <w:rPr>
                <w:rFonts w:ascii="方正书宋_GBK" w:eastAsia="方正书宋_GBK"/>
                <w:kern w:val="0"/>
                <w:szCs w:val="21"/>
              </w:rPr>
            </w:pPr>
          </w:p>
        </w:tc>
      </w:tr>
    </w:tbl>
    <w:p>
      <w:pPr>
        <w:sectPr>
          <w:pgSz w:w="16838" w:h="11906" w:orient="landscape"/>
          <w:pgMar w:top="1800" w:right="1440" w:bottom="1800" w:left="1440" w:header="851" w:footer="992" w:gutter="0"/>
          <w:cols w:space="720" w:num="1"/>
          <w:docGrid w:type="lines" w:linePitch="312" w:charSpace="0"/>
        </w:sectPr>
      </w:pPr>
    </w:p>
    <w:p>
      <w:pPr>
        <w:pStyle w:val="3"/>
      </w:pPr>
      <w:r>
        <w:rPr>
          <w:rFonts w:hint="eastAsia"/>
        </w:rPr>
        <w:t>部门预算支出总表</w:t>
      </w:r>
    </w:p>
    <w:tbl>
      <w:tblPr>
        <w:tblStyle w:val="11"/>
        <w:tblW w:w="140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065"/>
        <w:gridCol w:w="3181"/>
        <w:gridCol w:w="1417"/>
        <w:gridCol w:w="1418"/>
        <w:gridCol w:w="1559"/>
        <w:gridCol w:w="992"/>
        <w:gridCol w:w="1397"/>
        <w:gridCol w:w="1214"/>
        <w:gridCol w:w="1088"/>
        <w:gridCol w:w="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082" w:type="dxa"/>
            <w:gridSpan w:val="11"/>
            <w:tcBorders>
              <w:top w:val="nil"/>
              <w:left w:val="nil"/>
              <w:bottom w:val="single" w:color="auto" w:sz="4" w:space="0"/>
              <w:right w:val="nil"/>
            </w:tcBorders>
            <w:shd w:val="clear" w:color="auto" w:fill="auto"/>
            <w:vAlign w:val="center"/>
          </w:tcPr>
          <w:p>
            <w:pPr>
              <w:widowControl/>
              <w:adjustRightInd w:val="0"/>
              <w:snapToGrid w:val="0"/>
              <w:jc w:val="left"/>
              <w:rPr>
                <w:rFonts w:ascii="方正小标宋_GBK" w:eastAsia="方正小标宋_GBK"/>
                <w:bCs/>
                <w:kern w:val="0"/>
                <w:sz w:val="24"/>
              </w:rPr>
            </w:pPr>
            <w:r>
              <w:rPr>
                <w:rFonts w:hint="eastAsia" w:ascii="方正小标宋_GBK" w:eastAsia="方正小标宋_GBK"/>
                <w:bCs/>
                <w:kern w:val="0"/>
                <w:sz w:val="24"/>
                <w:lang w:eastAsia="zh-CN"/>
              </w:rPr>
              <w:t>225002中共承德市鹰手营子矿区委机构编制委员会办公室</w:t>
            </w:r>
            <w:r>
              <w:rPr>
                <w:rFonts w:hint="eastAsia" w:ascii="方正小标宋_GBK" w:eastAsia="方正小标宋_GBK"/>
                <w:bCs/>
                <w:kern w:val="0"/>
                <w:sz w:val="24"/>
              </w:rPr>
              <w:t xml:space="preserve">               </w:t>
            </w:r>
            <w:r>
              <w:rPr>
                <w:rFonts w:hint="eastAsia" w:ascii="方正小标宋_GBK" w:eastAsia="方正小标宋_GBK"/>
                <w:bCs/>
                <w:kern w:val="0"/>
                <w:sz w:val="24"/>
                <w:lang w:eastAsia="zh-CN"/>
              </w:rPr>
              <w:t>预算年度：2022</w:t>
            </w:r>
            <w:r>
              <w:rPr>
                <w:rFonts w:hint="eastAsia" w:ascii="方正小标宋_GBK" w:eastAsia="方正小标宋_GBK"/>
                <w:bCs/>
                <w:kern w:val="0"/>
                <w:sz w:val="24"/>
              </w:rPr>
              <w:t xml:space="preserve">                  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blHeader/>
        </w:trPr>
        <w:tc>
          <w:tcPr>
            <w:tcW w:w="589"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4246" w:type="dxa"/>
            <w:gridSpan w:val="2"/>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科目</w:t>
            </w:r>
          </w:p>
        </w:tc>
        <w:tc>
          <w:tcPr>
            <w:tcW w:w="1417"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418"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1559"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c>
          <w:tcPr>
            <w:tcW w:w="992"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上缴上级支出</w:t>
            </w:r>
          </w:p>
        </w:tc>
        <w:tc>
          <w:tcPr>
            <w:tcW w:w="1397"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经营支出</w:t>
            </w:r>
          </w:p>
        </w:tc>
        <w:tc>
          <w:tcPr>
            <w:tcW w:w="1214"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对附属单位补助支出</w:t>
            </w:r>
          </w:p>
        </w:tc>
        <w:tc>
          <w:tcPr>
            <w:tcW w:w="1088" w:type="dxa"/>
            <w:vMerge w:val="restart"/>
            <w:tcBorders>
              <w:top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948" w:hRule="atLeast"/>
          <w:tblHeader/>
        </w:trPr>
        <w:tc>
          <w:tcPr>
            <w:tcW w:w="589" w:type="dxa"/>
            <w:vMerge w:val="continue"/>
            <w:vAlign w:val="center"/>
          </w:tcPr>
          <w:p>
            <w:pPr>
              <w:widowControl/>
              <w:adjustRightInd w:val="0"/>
              <w:snapToGrid w:val="0"/>
              <w:jc w:val="center"/>
              <w:rPr>
                <w:rFonts w:ascii="方正书宋_GBK" w:eastAsia="方正书宋_GBK"/>
                <w:b/>
                <w:bCs/>
                <w:kern w:val="0"/>
                <w:szCs w:val="21"/>
              </w:rPr>
            </w:pPr>
          </w:p>
        </w:tc>
        <w:tc>
          <w:tcPr>
            <w:tcW w:w="1065"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3181"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1417" w:type="dxa"/>
            <w:vMerge w:val="continue"/>
            <w:vAlign w:val="center"/>
          </w:tcPr>
          <w:p>
            <w:pPr>
              <w:widowControl/>
              <w:adjustRightInd w:val="0"/>
              <w:snapToGrid w:val="0"/>
              <w:jc w:val="center"/>
              <w:rPr>
                <w:rFonts w:ascii="方正书宋_GBK" w:eastAsia="方正书宋_GBK"/>
                <w:b/>
                <w:bCs/>
                <w:kern w:val="0"/>
                <w:szCs w:val="21"/>
              </w:rPr>
            </w:pPr>
          </w:p>
        </w:tc>
        <w:tc>
          <w:tcPr>
            <w:tcW w:w="1418" w:type="dxa"/>
            <w:vMerge w:val="continue"/>
            <w:vAlign w:val="center"/>
          </w:tcPr>
          <w:p>
            <w:pPr>
              <w:widowControl/>
              <w:adjustRightInd w:val="0"/>
              <w:snapToGrid w:val="0"/>
              <w:jc w:val="center"/>
              <w:rPr>
                <w:rFonts w:ascii="方正书宋_GBK" w:eastAsia="方正书宋_GBK"/>
                <w:b/>
                <w:bCs/>
                <w:kern w:val="0"/>
                <w:szCs w:val="21"/>
              </w:rPr>
            </w:pPr>
          </w:p>
        </w:tc>
        <w:tc>
          <w:tcPr>
            <w:tcW w:w="1559" w:type="dxa"/>
            <w:vMerge w:val="continue"/>
            <w:vAlign w:val="center"/>
          </w:tcPr>
          <w:p>
            <w:pPr>
              <w:widowControl/>
              <w:adjustRightInd w:val="0"/>
              <w:snapToGrid w:val="0"/>
              <w:jc w:val="center"/>
              <w:rPr>
                <w:rFonts w:ascii="方正书宋_GBK" w:eastAsia="方正书宋_GBK"/>
                <w:b/>
                <w:bCs/>
                <w:kern w:val="0"/>
                <w:szCs w:val="21"/>
              </w:rPr>
            </w:pPr>
          </w:p>
        </w:tc>
        <w:tc>
          <w:tcPr>
            <w:tcW w:w="992" w:type="dxa"/>
            <w:vMerge w:val="continue"/>
            <w:vAlign w:val="center"/>
          </w:tcPr>
          <w:p>
            <w:pPr>
              <w:widowControl/>
              <w:adjustRightInd w:val="0"/>
              <w:snapToGrid w:val="0"/>
              <w:jc w:val="center"/>
              <w:rPr>
                <w:rFonts w:ascii="方正书宋_GBK" w:eastAsia="方正书宋_GBK"/>
                <w:b/>
                <w:bCs/>
                <w:kern w:val="0"/>
                <w:szCs w:val="21"/>
              </w:rPr>
            </w:pPr>
          </w:p>
        </w:tc>
        <w:tc>
          <w:tcPr>
            <w:tcW w:w="1397" w:type="dxa"/>
            <w:vMerge w:val="continue"/>
            <w:vAlign w:val="center"/>
          </w:tcPr>
          <w:p>
            <w:pPr>
              <w:widowControl/>
              <w:adjustRightInd w:val="0"/>
              <w:snapToGrid w:val="0"/>
              <w:jc w:val="center"/>
              <w:rPr>
                <w:rFonts w:ascii="方正书宋_GBK" w:eastAsia="方正书宋_GBK"/>
                <w:b/>
                <w:bCs/>
                <w:kern w:val="0"/>
                <w:szCs w:val="21"/>
              </w:rPr>
            </w:pPr>
          </w:p>
        </w:tc>
        <w:tc>
          <w:tcPr>
            <w:tcW w:w="1214" w:type="dxa"/>
            <w:vMerge w:val="continue"/>
            <w:vAlign w:val="center"/>
          </w:tcPr>
          <w:p>
            <w:pPr>
              <w:widowControl/>
              <w:adjustRightInd w:val="0"/>
              <w:snapToGrid w:val="0"/>
              <w:jc w:val="center"/>
              <w:rPr>
                <w:rFonts w:ascii="方正书宋_GBK" w:eastAsia="方正书宋_GBK"/>
                <w:b/>
                <w:bCs/>
                <w:kern w:val="0"/>
                <w:szCs w:val="21"/>
              </w:rPr>
            </w:pPr>
          </w:p>
        </w:tc>
        <w:tc>
          <w:tcPr>
            <w:tcW w:w="1088" w:type="dxa"/>
            <w:vMerge w:val="continue"/>
            <w:vAlign w:val="center"/>
          </w:tcPr>
          <w:p>
            <w:pPr>
              <w:widowControl/>
              <w:adjustRightInd w:val="0"/>
              <w:snapToGrid w:val="0"/>
              <w:jc w:val="center"/>
              <w:rPr>
                <w:rFonts w:ascii="方正书宋_GBK" w:eastAsia="方正书宋_GBK"/>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80" w:hRule="atLeast"/>
          <w:tblHeader/>
        </w:trPr>
        <w:tc>
          <w:tcPr>
            <w:tcW w:w="589" w:type="dxa"/>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065"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3181"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417"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418"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559"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992"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1397"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c>
          <w:tcPr>
            <w:tcW w:w="1214"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8</w:t>
            </w:r>
          </w:p>
        </w:tc>
        <w:tc>
          <w:tcPr>
            <w:tcW w:w="1088" w:type="dxa"/>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jc w:val="center"/>
              <w:rPr>
                <w:kern w:val="0"/>
                <w:sz w:val="24"/>
              </w:rPr>
            </w:pPr>
            <w:r>
              <w:rPr>
                <w:kern w:val="0"/>
                <w:sz w:val="24"/>
              </w:rPr>
              <w:t>1</w:t>
            </w:r>
          </w:p>
        </w:tc>
        <w:tc>
          <w:tcPr>
            <w:tcW w:w="1065" w:type="dxa"/>
            <w:shd w:val="clear" w:color="auto" w:fill="auto"/>
            <w:noWrap/>
            <w:vAlign w:val="center"/>
          </w:tcPr>
          <w:p>
            <w:pPr>
              <w:widowControl/>
              <w:adjustRightInd w:val="0"/>
              <w:snapToGrid w:val="0"/>
              <w:jc w:val="left"/>
              <w:rPr>
                <w:rFonts w:ascii="方正书宋_GBK" w:eastAsia="方正书宋_GBK"/>
                <w:b/>
                <w:kern w:val="0"/>
                <w:szCs w:val="21"/>
              </w:rPr>
            </w:pPr>
            <w:r>
              <w:rPr>
                <w:rFonts w:ascii="方正书宋_GBK" w:eastAsia="方正书宋_GBK"/>
                <w:b/>
                <w:kern w:val="0"/>
                <w:szCs w:val="21"/>
              </w:rPr>
              <w:t>　</w:t>
            </w:r>
          </w:p>
        </w:tc>
        <w:tc>
          <w:tcPr>
            <w:tcW w:w="3181" w:type="dxa"/>
            <w:shd w:val="clear" w:color="auto" w:fill="auto"/>
            <w:noWrap/>
            <w:vAlign w:val="center"/>
          </w:tcPr>
          <w:p>
            <w:pPr>
              <w:widowControl/>
              <w:adjustRightInd w:val="0"/>
              <w:snapToGrid w:val="0"/>
              <w:jc w:val="center"/>
              <w:rPr>
                <w:rFonts w:ascii="方正书宋_GBK" w:eastAsia="方正书宋_GBK"/>
                <w:b/>
                <w:kern w:val="0"/>
                <w:szCs w:val="21"/>
              </w:rPr>
            </w:pPr>
            <w:r>
              <w:rPr>
                <w:rFonts w:ascii="方正书宋_GBK" w:eastAsia="方正书宋_GBK"/>
                <w:b/>
                <w:kern w:val="0"/>
                <w:szCs w:val="21"/>
              </w:rPr>
              <w:t>合计</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b/>
                <w:kern w:val="0"/>
                <w:szCs w:val="21"/>
              </w:rPr>
            </w:pPr>
            <w:r>
              <w:rPr>
                <w:rFonts w:hint="default" w:ascii="Calibri" w:hAnsi="Calibri" w:eastAsia="宋体" w:cs="Calibri"/>
                <w:i w:val="0"/>
                <w:iCs w:val="0"/>
                <w:color w:val="000000"/>
                <w:kern w:val="0"/>
                <w:sz w:val="22"/>
                <w:szCs w:val="22"/>
                <w:u w:val="none"/>
                <w:lang w:val="en-US" w:eastAsia="zh-CN" w:bidi="ar"/>
              </w:rPr>
              <w:t>60.20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b/>
                <w:kern w:val="0"/>
                <w:szCs w:val="21"/>
              </w:rPr>
            </w:pPr>
            <w:r>
              <w:rPr>
                <w:rFonts w:hint="default" w:ascii="Calibri" w:hAnsi="Calibri" w:eastAsia="宋体" w:cs="Calibri"/>
                <w:i w:val="0"/>
                <w:iCs w:val="0"/>
                <w:color w:val="000000"/>
                <w:kern w:val="0"/>
                <w:sz w:val="22"/>
                <w:szCs w:val="22"/>
                <w:u w:val="none"/>
                <w:lang w:val="en-US" w:eastAsia="zh-CN" w:bidi="ar"/>
              </w:rPr>
              <w:t>54.28</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b/>
                <w:kern w:val="0"/>
                <w:szCs w:val="21"/>
              </w:rPr>
            </w:pPr>
            <w:r>
              <w:rPr>
                <w:rFonts w:hint="default" w:ascii="Calibri" w:hAnsi="Calibri" w:eastAsia="宋体" w:cs="Calibri"/>
                <w:i w:val="0"/>
                <w:iCs w:val="0"/>
                <w:color w:val="000000"/>
                <w:kern w:val="0"/>
                <w:sz w:val="22"/>
                <w:szCs w:val="22"/>
                <w:u w:val="none"/>
                <w:lang w:val="en-US" w:eastAsia="zh-CN" w:bidi="ar"/>
              </w:rPr>
              <w:t>5.92</w:t>
            </w:r>
          </w:p>
        </w:tc>
        <w:tc>
          <w:tcPr>
            <w:tcW w:w="992" w:type="dxa"/>
            <w:shd w:val="clear" w:color="auto" w:fill="auto"/>
            <w:noWrap/>
            <w:vAlign w:val="center"/>
          </w:tcPr>
          <w:p>
            <w:pPr>
              <w:widowControl/>
              <w:adjustRightInd w:val="0"/>
              <w:snapToGrid w:val="0"/>
              <w:jc w:val="right"/>
              <w:rPr>
                <w:rFonts w:ascii="方正书宋_GBK" w:eastAsia="方正书宋_GBK"/>
                <w:b/>
                <w:kern w:val="0"/>
                <w:szCs w:val="21"/>
              </w:rPr>
            </w:pPr>
          </w:p>
        </w:tc>
        <w:tc>
          <w:tcPr>
            <w:tcW w:w="1397" w:type="dxa"/>
            <w:shd w:val="clear" w:color="auto" w:fill="auto"/>
            <w:noWrap/>
          </w:tcPr>
          <w:p>
            <w:pPr>
              <w:widowControl/>
              <w:adjustRightInd w:val="0"/>
              <w:snapToGrid w:val="0"/>
              <w:jc w:val="left"/>
              <w:rPr>
                <w:rFonts w:ascii="方正书宋_GBK" w:eastAsia="方正书宋_GBK"/>
                <w:b/>
                <w:kern w:val="0"/>
                <w:szCs w:val="21"/>
              </w:rPr>
            </w:pPr>
            <w:r>
              <w:rPr>
                <w:rFonts w:hint="eastAsia" w:ascii="方正书宋_GBK" w:eastAsia="方正书宋_GBK"/>
                <w:b/>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b/>
                <w:kern w:val="0"/>
                <w:szCs w:val="21"/>
              </w:rPr>
            </w:pPr>
            <w:r>
              <w:rPr>
                <w:rFonts w:ascii="方正书宋_GBK" w:eastAsia="方正书宋_GBK"/>
                <w:b/>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2</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一般公共服务支出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50.19</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44.27</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5.92</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3</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20132</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组织事务</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50.19</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44.27</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5.92</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4</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2013201</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行政运行</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50.19</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44.27</w:t>
            </w:r>
          </w:p>
        </w:tc>
        <w:tc>
          <w:tcPr>
            <w:tcW w:w="1559"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5.92</w:t>
            </w: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5</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社会保障和就业支出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4.53</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4.53</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6</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20805</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行政事业单位养老支出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4.37</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4.37</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7</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2080505</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机关事业单位基本养老保险缴费支出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4.37</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4.37</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8</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20827</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财政对其他社会保险基金的补助</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0.16</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0.16</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9</w:t>
            </w:r>
          </w:p>
        </w:tc>
        <w:tc>
          <w:tcPr>
            <w:tcW w:w="1065"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2082702</w:t>
            </w:r>
          </w:p>
        </w:tc>
        <w:tc>
          <w:tcPr>
            <w:tcW w:w="3181" w:type="dxa"/>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财政对工伤保险基金的补助</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0.16</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0.16</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10</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卫生健康支出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11</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21011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行政事业单位医疗</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559" w:type="dxa"/>
            <w:shd w:val="clear" w:color="auto" w:fill="auto"/>
            <w:noWrap/>
            <w:vAlign w:val="top"/>
          </w:tcPr>
          <w:p>
            <w:pPr>
              <w:jc w:val="right"/>
              <w:rPr>
                <w:rFonts w:ascii="方正书宋_GBK" w:eastAsia="方正书宋_GBK"/>
                <w:kern w:val="0"/>
                <w:szCs w:val="21"/>
                <w:highlight w:val="yellow"/>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12</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2101101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行政单位医疗</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2.20</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p>
        </w:tc>
        <w:tc>
          <w:tcPr>
            <w:tcW w:w="1397"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vAlign w:val="center"/>
          </w:tcPr>
          <w:p>
            <w:pPr>
              <w:widowControl/>
              <w:adjustRightInd w:val="0"/>
              <w:snapToGrid w:val="0"/>
              <w:jc w:val="right"/>
              <w:rPr>
                <w:rFonts w:ascii="方正书宋_GBK" w:eastAsia="方正书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13</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住房保障支出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14</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22102</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住房改革支出</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cantSplit/>
          <w:trHeight w:val="405" w:hRule="atLeast"/>
        </w:trPr>
        <w:tc>
          <w:tcPr>
            <w:tcW w:w="589" w:type="dxa"/>
            <w:shd w:val="clear" w:color="auto" w:fill="auto"/>
            <w:noWrap/>
            <w:vAlign w:val="center"/>
          </w:tcPr>
          <w:p>
            <w:pPr>
              <w:widowControl/>
              <w:adjustRightInd w:val="0"/>
              <w:snapToGrid w:val="0"/>
              <w:jc w:val="center"/>
              <w:rPr>
                <w:rFonts w:ascii="方正书宋_GBK" w:eastAsia="方正书宋_GBK"/>
                <w:kern w:val="0"/>
                <w:szCs w:val="21"/>
              </w:rPr>
            </w:pPr>
            <w:r>
              <w:rPr>
                <w:rFonts w:ascii="方正书宋_GBK" w:eastAsia="方正书宋_GBK"/>
                <w:kern w:val="0"/>
                <w:szCs w:val="21"/>
              </w:rPr>
              <w:t>15</w:t>
            </w:r>
          </w:p>
        </w:tc>
        <w:tc>
          <w:tcPr>
            <w:tcW w:w="1065"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2210201</w:t>
            </w:r>
          </w:p>
        </w:tc>
        <w:tc>
          <w:tcPr>
            <w:tcW w:w="3181" w:type="dxa"/>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住房公积金</w:t>
            </w:r>
          </w:p>
        </w:tc>
        <w:tc>
          <w:tcPr>
            <w:tcW w:w="1417"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418" w:type="dxa"/>
            <w:shd w:val="clear" w:color="auto" w:fill="auto"/>
            <w:noWrap/>
            <w:vAlign w:val="top"/>
          </w:tcPr>
          <w:p>
            <w:pPr>
              <w:keepNext w:val="0"/>
              <w:keepLines w:val="0"/>
              <w:widowControl/>
              <w:suppressLineNumbers w:val="0"/>
              <w:jc w:val="right"/>
              <w:textAlignment w:val="top"/>
              <w:rPr>
                <w:rFonts w:ascii="方正书宋_GBK" w:eastAsia="方正书宋_GBK"/>
                <w:kern w:val="0"/>
                <w:szCs w:val="21"/>
              </w:rPr>
            </w:pPr>
            <w:r>
              <w:rPr>
                <w:rFonts w:hint="default" w:ascii="Calibri" w:hAnsi="Calibri" w:eastAsia="宋体" w:cs="Calibri"/>
                <w:i w:val="0"/>
                <w:iCs w:val="0"/>
                <w:color w:val="000000"/>
                <w:kern w:val="0"/>
                <w:sz w:val="22"/>
                <w:szCs w:val="22"/>
                <w:u w:val="none"/>
                <w:lang w:val="en-US" w:eastAsia="zh-CN" w:bidi="ar"/>
              </w:rPr>
              <w:t>3.28</w:t>
            </w:r>
          </w:p>
        </w:tc>
        <w:tc>
          <w:tcPr>
            <w:tcW w:w="1559" w:type="dxa"/>
            <w:shd w:val="clear" w:color="auto" w:fill="auto"/>
            <w:noWrap/>
            <w:vAlign w:val="top"/>
          </w:tcPr>
          <w:p>
            <w:pPr>
              <w:jc w:val="right"/>
              <w:rPr>
                <w:rFonts w:ascii="方正书宋_GBK" w:eastAsia="方正书宋_GBK"/>
                <w:kern w:val="0"/>
                <w:szCs w:val="21"/>
              </w:rPr>
            </w:pPr>
          </w:p>
        </w:tc>
        <w:tc>
          <w:tcPr>
            <w:tcW w:w="992"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397"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214" w:type="dxa"/>
            <w:shd w:val="clear" w:color="auto" w:fill="auto"/>
            <w:noWrap/>
            <w:vAlign w:val="center"/>
          </w:tcPr>
          <w:p>
            <w:pPr>
              <w:widowControl/>
              <w:adjustRightInd w:val="0"/>
              <w:snapToGrid w:val="0"/>
              <w:jc w:val="right"/>
              <w:rPr>
                <w:rFonts w:ascii="方正书宋_GBK" w:eastAsia="方正书宋_GBK"/>
                <w:kern w:val="0"/>
                <w:szCs w:val="21"/>
              </w:rPr>
            </w:pPr>
            <w:r>
              <w:rPr>
                <w:rFonts w:ascii="方正书宋_GBK" w:eastAsia="方正书宋_GBK"/>
                <w:kern w:val="0"/>
                <w:szCs w:val="21"/>
              </w:rPr>
              <w:t>　</w:t>
            </w:r>
          </w:p>
        </w:tc>
        <w:tc>
          <w:tcPr>
            <w:tcW w:w="1088" w:type="dxa"/>
            <w:shd w:val="clear" w:color="auto" w:fill="auto"/>
            <w:noWrap/>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highlight w:val="green"/>
        </w:rPr>
      </w:pPr>
      <w:r>
        <w:rPr>
          <w:rFonts w:hint="eastAsia"/>
        </w:rPr>
        <w:t>部门预算财政拨款收支总表</w:t>
      </w:r>
    </w:p>
    <w:tbl>
      <w:tblPr>
        <w:tblStyle w:val="11"/>
        <w:tblW w:w="0" w:type="auto"/>
        <w:tblInd w:w="93" w:type="dxa"/>
        <w:tblLayout w:type="fixed"/>
        <w:tblCellMar>
          <w:top w:w="0" w:type="dxa"/>
          <w:left w:w="108" w:type="dxa"/>
          <w:bottom w:w="0" w:type="dxa"/>
          <w:right w:w="108" w:type="dxa"/>
        </w:tblCellMar>
      </w:tblPr>
      <w:tblGrid>
        <w:gridCol w:w="724"/>
        <w:gridCol w:w="3544"/>
        <w:gridCol w:w="1276"/>
        <w:gridCol w:w="3577"/>
        <w:gridCol w:w="1240"/>
        <w:gridCol w:w="1240"/>
        <w:gridCol w:w="314"/>
        <w:gridCol w:w="926"/>
        <w:gridCol w:w="1240"/>
      </w:tblGrid>
      <w:tr>
        <w:tblPrEx>
          <w:tblCellMar>
            <w:top w:w="0" w:type="dxa"/>
            <w:left w:w="108" w:type="dxa"/>
            <w:bottom w:w="0" w:type="dxa"/>
            <w:right w:w="108" w:type="dxa"/>
          </w:tblCellMar>
        </w:tblPrEx>
        <w:trPr>
          <w:trHeight w:val="311" w:hRule="atLeast"/>
          <w:tblHeader/>
        </w:trPr>
        <w:tc>
          <w:tcPr>
            <w:tcW w:w="4268" w:type="dxa"/>
            <w:gridSpan w:val="2"/>
            <w:vMerge w:val="restart"/>
            <w:tcBorders>
              <w:top w:val="nil"/>
              <w:left w:val="nil"/>
              <w:bottom w:val="single" w:color="000000" w:sz="4" w:space="0"/>
              <w:right w:val="nil"/>
            </w:tcBorders>
            <w:shd w:val="clear" w:color="auto" w:fill="auto"/>
            <w:vAlign w:val="center"/>
          </w:tcPr>
          <w:p>
            <w:pPr>
              <w:widowControl/>
              <w:adjustRightInd w:val="0"/>
              <w:snapToGrid w:val="0"/>
              <w:jc w:val="left"/>
              <w:rPr>
                <w:rFonts w:hint="eastAsia" w:ascii="宋体" w:hAnsi="宋体" w:eastAsia="宋体" w:cs="宋体"/>
                <w:b/>
                <w:bCs/>
                <w:kern w:val="0"/>
                <w:sz w:val="24"/>
                <w:lang w:eastAsia="zh-CN"/>
              </w:rPr>
            </w:pPr>
            <w:r>
              <w:rPr>
                <w:rFonts w:hint="eastAsia" w:ascii="宋体" w:hAnsi="宋体" w:cs="宋体"/>
                <w:b/>
                <w:bCs/>
                <w:kern w:val="0"/>
                <w:sz w:val="24"/>
                <w:lang w:eastAsia="zh-CN"/>
              </w:rPr>
              <w:t>225002中共承德市鹰手营子矿区委机构编制委员会办公室</w:t>
            </w:r>
          </w:p>
        </w:tc>
        <w:tc>
          <w:tcPr>
            <w:tcW w:w="4853" w:type="dxa"/>
            <w:gridSpan w:val="2"/>
            <w:vMerge w:val="restart"/>
            <w:tcBorders>
              <w:top w:val="nil"/>
              <w:left w:val="nil"/>
              <w:bottom w:val="single" w:color="000000" w:sz="4" w:space="0"/>
              <w:right w:val="nil"/>
            </w:tcBorders>
            <w:shd w:val="clear" w:color="auto" w:fill="auto"/>
            <w:vAlign w:val="center"/>
          </w:tcPr>
          <w:p>
            <w:pPr>
              <w:widowControl/>
              <w:adjustRightInd w:val="0"/>
              <w:snapToGrid w:val="0"/>
              <w:jc w:val="center"/>
              <w:rPr>
                <w:rFonts w:hint="eastAsia" w:eastAsia="宋体"/>
                <w:b/>
                <w:bCs/>
                <w:kern w:val="0"/>
                <w:sz w:val="24"/>
                <w:lang w:eastAsia="zh-CN"/>
              </w:rPr>
            </w:pPr>
            <w:r>
              <w:rPr>
                <w:rFonts w:hint="eastAsia" w:ascii="宋体" w:hAnsi="宋体"/>
                <w:b/>
                <w:bCs/>
                <w:kern w:val="0"/>
                <w:sz w:val="24"/>
                <w:lang w:eastAsia="zh-CN"/>
              </w:rPr>
              <w:t>预算年度：2022</w:t>
            </w:r>
          </w:p>
        </w:tc>
        <w:tc>
          <w:tcPr>
            <w:tcW w:w="2794" w:type="dxa"/>
            <w:gridSpan w:val="3"/>
            <w:vMerge w:val="restart"/>
            <w:tcBorders>
              <w:top w:val="nil"/>
              <w:left w:val="nil"/>
              <w:bottom w:val="nil"/>
              <w:right w:val="nil"/>
            </w:tcBorders>
            <w:shd w:val="clear" w:color="auto" w:fill="auto"/>
            <w:vAlign w:val="center"/>
          </w:tcPr>
          <w:p>
            <w:pPr>
              <w:widowControl/>
              <w:adjustRightInd w:val="0"/>
              <w:snapToGrid w:val="0"/>
              <w:jc w:val="left"/>
              <w:rPr>
                <w:rFonts w:ascii="宋体" w:hAnsi="宋体" w:cs="宋体"/>
                <w:b/>
                <w:bCs/>
                <w:kern w:val="0"/>
                <w:sz w:val="24"/>
              </w:rPr>
            </w:pPr>
          </w:p>
        </w:tc>
        <w:tc>
          <w:tcPr>
            <w:tcW w:w="2166" w:type="dxa"/>
            <w:gridSpan w:val="2"/>
            <w:vMerge w:val="restart"/>
            <w:tcBorders>
              <w:top w:val="nil"/>
              <w:left w:val="nil"/>
              <w:bottom w:val="nil"/>
              <w:right w:val="nil"/>
            </w:tcBorders>
            <w:shd w:val="clear" w:color="auto" w:fill="auto"/>
            <w:vAlign w:val="center"/>
          </w:tcPr>
          <w:p>
            <w:pPr>
              <w:widowControl/>
              <w:adjustRightInd w:val="0"/>
              <w:snapToGrid w:val="0"/>
              <w:jc w:val="right"/>
              <w:rPr>
                <w:b/>
                <w:bCs/>
                <w:kern w:val="0"/>
                <w:sz w:val="24"/>
              </w:rPr>
            </w:pPr>
            <w:r>
              <w:rPr>
                <w:b/>
                <w:bCs/>
                <w:kern w:val="0"/>
                <w:sz w:val="24"/>
              </w:rPr>
              <w:t>金额单位：万元</w:t>
            </w:r>
          </w:p>
        </w:tc>
      </w:tr>
      <w:tr>
        <w:tblPrEx>
          <w:tblCellMar>
            <w:top w:w="0" w:type="dxa"/>
            <w:left w:w="108" w:type="dxa"/>
            <w:bottom w:w="0" w:type="dxa"/>
            <w:right w:w="108" w:type="dxa"/>
          </w:tblCellMar>
        </w:tblPrEx>
        <w:trPr>
          <w:trHeight w:val="312" w:hRule="atLeast"/>
          <w:tblHeader/>
        </w:trPr>
        <w:tc>
          <w:tcPr>
            <w:tcW w:w="4268" w:type="dxa"/>
            <w:gridSpan w:val="2"/>
            <w:vMerge w:val="continue"/>
            <w:tcBorders>
              <w:top w:val="nil"/>
              <w:left w:val="nil"/>
              <w:bottom w:val="single" w:color="000000" w:sz="4" w:space="0"/>
              <w:right w:val="nil"/>
            </w:tcBorders>
            <w:vAlign w:val="center"/>
          </w:tcPr>
          <w:p>
            <w:pPr>
              <w:widowControl/>
              <w:jc w:val="left"/>
              <w:rPr>
                <w:rFonts w:ascii="宋体" w:hAnsi="宋体" w:cs="宋体"/>
                <w:b/>
                <w:bCs/>
                <w:kern w:val="0"/>
                <w:sz w:val="24"/>
              </w:rPr>
            </w:pPr>
          </w:p>
        </w:tc>
        <w:tc>
          <w:tcPr>
            <w:tcW w:w="4853" w:type="dxa"/>
            <w:gridSpan w:val="2"/>
            <w:vMerge w:val="continue"/>
            <w:tcBorders>
              <w:top w:val="nil"/>
              <w:left w:val="nil"/>
              <w:bottom w:val="single" w:color="000000" w:sz="4" w:space="0"/>
              <w:right w:val="nil"/>
            </w:tcBorders>
            <w:vAlign w:val="center"/>
          </w:tcPr>
          <w:p>
            <w:pPr>
              <w:widowControl/>
              <w:jc w:val="left"/>
              <w:rPr>
                <w:b/>
                <w:bCs/>
                <w:kern w:val="0"/>
                <w:sz w:val="24"/>
              </w:rPr>
            </w:pPr>
          </w:p>
        </w:tc>
        <w:tc>
          <w:tcPr>
            <w:tcW w:w="2794" w:type="dxa"/>
            <w:gridSpan w:val="3"/>
            <w:vMerge w:val="continue"/>
            <w:tcBorders>
              <w:top w:val="nil"/>
              <w:left w:val="nil"/>
              <w:bottom w:val="nil"/>
              <w:right w:val="nil"/>
            </w:tcBorders>
            <w:vAlign w:val="center"/>
          </w:tcPr>
          <w:p>
            <w:pPr>
              <w:widowControl/>
              <w:jc w:val="left"/>
              <w:rPr>
                <w:rFonts w:ascii="宋体" w:hAnsi="宋体" w:cs="宋体"/>
                <w:b/>
                <w:bCs/>
                <w:kern w:val="0"/>
                <w:sz w:val="24"/>
              </w:rPr>
            </w:pPr>
          </w:p>
        </w:tc>
        <w:tc>
          <w:tcPr>
            <w:tcW w:w="2166" w:type="dxa"/>
            <w:gridSpan w:val="2"/>
            <w:vMerge w:val="continue"/>
            <w:tcBorders>
              <w:top w:val="nil"/>
              <w:left w:val="nil"/>
              <w:bottom w:val="nil"/>
              <w:right w:val="nil"/>
            </w:tcBorders>
            <w:vAlign w:val="center"/>
          </w:tcPr>
          <w:p>
            <w:pPr>
              <w:widowControl/>
              <w:jc w:val="left"/>
              <w:rPr>
                <w:b/>
                <w:bCs/>
                <w:kern w:val="0"/>
                <w:sz w:val="24"/>
              </w:rPr>
            </w:pPr>
          </w:p>
        </w:tc>
      </w:tr>
      <w:tr>
        <w:tblPrEx>
          <w:tblCellMar>
            <w:top w:w="0" w:type="dxa"/>
            <w:left w:w="108" w:type="dxa"/>
            <w:bottom w:w="0" w:type="dxa"/>
            <w:right w:w="108" w:type="dxa"/>
          </w:tblCellMar>
        </w:tblPrEx>
        <w:trPr>
          <w:trHeight w:val="1080" w:hRule="atLeast"/>
          <w:tblHead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栏次</w:t>
            </w:r>
          </w:p>
        </w:tc>
        <w:tc>
          <w:tcPr>
            <w:tcW w:w="35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项    目</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金额</w:t>
            </w:r>
          </w:p>
        </w:tc>
        <w:tc>
          <w:tcPr>
            <w:tcW w:w="35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项    目</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合计</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一般公共预算财政拨款</w:t>
            </w:r>
          </w:p>
        </w:tc>
        <w:tc>
          <w:tcPr>
            <w:tcW w:w="124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政府性基金预算财政拨款</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国有资本经营预算财政拨款</w:t>
            </w:r>
          </w:p>
        </w:tc>
      </w:tr>
      <w:tr>
        <w:tblPrEx>
          <w:tblCellMar>
            <w:top w:w="0" w:type="dxa"/>
            <w:left w:w="108" w:type="dxa"/>
            <w:bottom w:w="0" w:type="dxa"/>
            <w:right w:w="108" w:type="dxa"/>
          </w:tblCellMar>
        </w:tblPrEx>
        <w:trPr>
          <w:trHeight w:val="405" w:hRule="atLeast"/>
          <w:tblHead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栏次</w:t>
            </w:r>
          </w:p>
        </w:tc>
        <w:tc>
          <w:tcPr>
            <w:tcW w:w="35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357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240"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c>
          <w:tcPr>
            <w:tcW w:w="12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7</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60.20</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一、一般公共服务支出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50.19</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50.19</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二、政府性基金预算财政拨款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二、外交支出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三、国有资本经营预算财政拨款</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三、国防支出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四、公共安全支出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五、教育支出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六、科学技术支出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七、文化旅游体育与传媒支出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八、社会保障和就业支出</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4.53</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4.53</w:t>
            </w:r>
          </w:p>
        </w:tc>
        <w:tc>
          <w:tcPr>
            <w:tcW w:w="12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九、社会保险基金支出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十、卫生健康支出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2.20</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lang w:val="en-US" w:eastAsia="zh-CN"/>
              </w:rPr>
              <w:t>2.20</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十一、节能环保支出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十二、城乡社区支出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十三、农林水支出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十四、交通运输支出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十五、资源勘探工业信息等支出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十六、商业服务业等支出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十七、金融支出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十八、援助其他地区支出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十九、自然资源海洋气象等支出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二十、住房保障支出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3.28</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3.28</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21</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二十一、粮油物资储备支出</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22</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二十二、国有资本经营预算支出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23</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二十三、灾害防治及应急管理支出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24</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二十四、其他支出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kern w:val="0"/>
                <w:szCs w:val="21"/>
              </w:rPr>
            </w:pPr>
            <w:r>
              <w:rPr>
                <w:rFonts w:hint="eastAsia" w:ascii="方正书宋_GBK" w:eastAsia="方正书宋_GBK"/>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25</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二十五、转移性支出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26</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二十六、债务还本支出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27</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二十七、债务付息支出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28</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二十八、债务发行费用支出</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29</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本年收入合计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本年支出合计</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lang w:val="en-US" w:eastAsia="zh-CN"/>
              </w:rPr>
              <w:t>60.20</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lang w:val="en-US" w:eastAsia="zh-CN"/>
              </w:rPr>
              <w:t>60.20</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30</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上年结转</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xml:space="preserve">    结转下年</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r>
        <w:tblPrEx>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31</w:t>
            </w:r>
          </w:p>
        </w:tc>
        <w:tc>
          <w:tcPr>
            <w:tcW w:w="35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b/>
                <w:bCs/>
                <w:kern w:val="0"/>
                <w:szCs w:val="21"/>
              </w:rPr>
            </w:pPr>
            <w:r>
              <w:rPr>
                <w:rFonts w:hint="eastAsia" w:ascii="方正书宋_GBK" w:hAnsi="宋体" w:eastAsia="方正书宋_GBK" w:cs="宋体"/>
                <w:b/>
                <w:bCs/>
                <w:kern w:val="0"/>
                <w:szCs w:val="21"/>
              </w:rPr>
              <w:t xml:space="preserve">      合计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b/>
                <w:bCs/>
                <w:kern w:val="0"/>
                <w:szCs w:val="21"/>
                <w:lang w:val="en-US" w:eastAsia="zh-CN"/>
              </w:rPr>
            </w:pPr>
            <w:r>
              <w:rPr>
                <w:rFonts w:hint="eastAsia" w:ascii="方正书宋_GBK" w:eastAsia="方正书宋_GBK"/>
                <w:b/>
                <w:bCs/>
                <w:kern w:val="0"/>
                <w:szCs w:val="21"/>
                <w:lang w:val="en-US" w:eastAsia="zh-CN"/>
              </w:rPr>
              <w:t>60.20</w:t>
            </w:r>
          </w:p>
        </w:tc>
        <w:tc>
          <w:tcPr>
            <w:tcW w:w="357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b/>
                <w:bCs/>
                <w:kern w:val="0"/>
                <w:szCs w:val="21"/>
              </w:rPr>
            </w:pPr>
            <w:r>
              <w:rPr>
                <w:rFonts w:hint="eastAsia" w:ascii="方正书宋_GBK" w:eastAsia="方正书宋_GBK"/>
                <w:b/>
                <w:bCs/>
                <w:kern w:val="0"/>
                <w:szCs w:val="21"/>
              </w:rPr>
              <w:t xml:space="preserve">            </w:t>
            </w:r>
            <w:r>
              <w:rPr>
                <w:rFonts w:hint="eastAsia" w:ascii="方正书宋_GBK" w:hAnsi="宋体" w:eastAsia="方正书宋_GBK"/>
                <w:b/>
                <w:bCs/>
                <w:kern w:val="0"/>
                <w:szCs w:val="21"/>
              </w:rPr>
              <w:t>合计</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lang w:val="en-US" w:eastAsia="zh-CN"/>
              </w:rPr>
              <w:t>60.20</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lang w:val="en-US" w:eastAsia="zh-CN"/>
              </w:rPr>
              <w:t>60.20</w:t>
            </w:r>
          </w:p>
        </w:tc>
        <w:tc>
          <w:tcPr>
            <w:tcW w:w="1240" w:type="dxa"/>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c>
          <w:tcPr>
            <w:tcW w:w="124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ascii="方正书宋_GBK" w:eastAsia="方正书宋_GBK"/>
                <w:b/>
                <w:bCs/>
                <w:kern w:val="0"/>
                <w:szCs w:val="21"/>
              </w:rPr>
            </w:pPr>
            <w:r>
              <w:rPr>
                <w:rFonts w:hint="eastAsia" w:ascii="方正书宋_GBK" w:eastAsia="方正书宋_GBK"/>
                <w:b/>
                <w:bCs/>
                <w:kern w:val="0"/>
                <w:szCs w:val="21"/>
              </w:rPr>
              <w:t>　</w:t>
            </w:r>
          </w:p>
        </w:tc>
      </w:tr>
    </w:tbl>
    <w:p>
      <w:pPr>
        <w:sectPr>
          <w:pgSz w:w="16838" w:h="11906" w:orient="landscape"/>
          <w:pgMar w:top="1800" w:right="1440" w:bottom="1800" w:left="1440" w:header="851" w:footer="992" w:gutter="0"/>
          <w:cols w:space="720" w:num="1"/>
          <w:docGrid w:type="lines" w:linePitch="312" w:charSpace="0"/>
        </w:sectPr>
      </w:pPr>
    </w:p>
    <w:p>
      <w:pPr>
        <w:pStyle w:val="3"/>
        <w:rPr>
          <w:highlight w:val="green"/>
        </w:rPr>
      </w:pPr>
      <w:r>
        <w:rPr>
          <w:rFonts w:hint="eastAsia"/>
        </w:rPr>
        <w:t>部门预算一般公共预算财政拨款支出表</w:t>
      </w:r>
    </w:p>
    <w:tbl>
      <w:tblPr>
        <w:tblStyle w:val="11"/>
        <w:tblW w:w="0" w:type="auto"/>
        <w:jc w:val="center"/>
        <w:tblLayout w:type="autofit"/>
        <w:tblCellMar>
          <w:top w:w="0" w:type="dxa"/>
          <w:left w:w="108" w:type="dxa"/>
          <w:bottom w:w="0" w:type="dxa"/>
          <w:right w:w="108" w:type="dxa"/>
        </w:tblCellMar>
      </w:tblPr>
      <w:tblGrid>
        <w:gridCol w:w="1129"/>
        <w:gridCol w:w="4861"/>
        <w:gridCol w:w="4355"/>
        <w:gridCol w:w="1212"/>
        <w:gridCol w:w="1085"/>
        <w:gridCol w:w="1256"/>
      </w:tblGrid>
      <w:tr>
        <w:tblPrEx>
          <w:tblCellMar>
            <w:top w:w="0" w:type="dxa"/>
            <w:left w:w="108" w:type="dxa"/>
            <w:bottom w:w="0" w:type="dxa"/>
            <w:right w:w="108" w:type="dxa"/>
          </w:tblCellMar>
        </w:tblPrEx>
        <w:trPr>
          <w:cantSplit/>
          <w:trHeight w:val="324" w:hRule="atLeast"/>
          <w:tblHeader/>
          <w:jc w:val="center"/>
        </w:trPr>
        <w:tc>
          <w:tcPr>
            <w:tcW w:w="13898" w:type="dxa"/>
            <w:gridSpan w:val="6"/>
            <w:tcBorders>
              <w:top w:val="nil"/>
              <w:left w:val="nil"/>
              <w:bottom w:val="single" w:color="auto" w:sz="4" w:space="0"/>
              <w:right w:val="nil"/>
            </w:tcBorders>
            <w:shd w:val="clear" w:color="auto" w:fill="auto"/>
            <w:vAlign w:val="center"/>
          </w:tcPr>
          <w:p>
            <w:pPr>
              <w:widowControl/>
              <w:adjustRightInd w:val="0"/>
              <w:snapToGrid w:val="0"/>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hAnsi="宋体" w:eastAsia="方正书宋_GBK" w:cs="宋体"/>
                <w:b/>
                <w:bCs/>
                <w:kern w:val="0"/>
                <w:sz w:val="24"/>
                <w:lang w:eastAsia="zh-CN"/>
              </w:rPr>
              <w:t>预算年度：2022</w:t>
            </w:r>
            <w:r>
              <w:rPr>
                <w:rFonts w:hint="eastAsia" w:ascii="方正书宋_GBK" w:hAnsi="宋体" w:eastAsia="方正书宋_GBK" w:cs="宋体"/>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cantSplit/>
          <w:trHeight w:val="495" w:hRule="atLeast"/>
          <w:tblHeader/>
          <w:jc w:val="center"/>
        </w:trPr>
        <w:tc>
          <w:tcPr>
            <w:tcW w:w="112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921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cantSplit/>
          <w:trHeight w:val="648" w:hRule="atLeast"/>
          <w:tblHeader/>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4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r>
      <w:tr>
        <w:tblPrEx>
          <w:tblCellMar>
            <w:top w:w="0" w:type="dxa"/>
            <w:left w:w="108" w:type="dxa"/>
            <w:bottom w:w="0" w:type="dxa"/>
            <w:right w:w="108" w:type="dxa"/>
          </w:tblCellMar>
        </w:tblPrEx>
        <w:trPr>
          <w:cantSplit/>
          <w:trHeight w:val="360" w:hRule="atLeast"/>
          <w:tblHeader/>
          <w:jc w:val="center"/>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4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0" w:type="auto"/>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4861"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60.20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54.28</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5.92</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50.19</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44.27</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5.92</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20132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组织事务</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50.19</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44.27</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5.92</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2013201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行政运行</w:t>
            </w:r>
          </w:p>
        </w:tc>
        <w:tc>
          <w:tcPr>
            <w:tcW w:w="121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50.19</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44.27</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5.92</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4.53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rPr>
              <w:t>　</w:t>
            </w:r>
            <w:r>
              <w:rPr>
                <w:rFonts w:hint="eastAsia" w:ascii="方正书宋_GBK" w:hAnsi="宋体" w:eastAsia="方正书宋_GBK" w:cs="宋体"/>
                <w:kern w:val="0"/>
                <w:szCs w:val="21"/>
                <w:lang w:val="en-US" w:eastAsia="zh-CN"/>
              </w:rPr>
              <w:t>4.53</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行政事业单位养老支出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4.37</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4.37</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2080505</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机关事业单位基本养老保险缴费支出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4.37</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4.37</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财政对其他社会保险基金的补助</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0.16</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0.16</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2082702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财政对工伤保险基金的补助</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0.16</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0.16</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卫生健康支出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2.20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行政事业单位医疗</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2.20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rPr>
              <w:t>　</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2101101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rPr>
            </w:pPr>
            <w:r>
              <w:rPr>
                <w:rFonts w:hint="default" w:ascii="方正书宋_GBK" w:hAnsi="宋体" w:eastAsia="方正书宋_GBK" w:cs="宋体"/>
                <w:kern w:val="0"/>
                <w:szCs w:val="21"/>
                <w:lang w:val="en-US" w:eastAsia="zh-CN"/>
              </w:rPr>
              <w:t>行政单位医疗</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2.20</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r>
              <w:rPr>
                <w:rFonts w:hint="eastAsia" w:ascii="方正书宋_GBK" w:hAnsi="宋体" w:eastAsia="方正书宋_GBK" w:cs="宋体"/>
                <w:kern w:val="0"/>
                <w:szCs w:val="21"/>
                <w:lang w:val="en-US" w:eastAsia="zh-CN"/>
              </w:rPr>
              <w:t>2.20</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方正书宋_GBK" w:hAnsi="宋体" w:eastAsia="方正书宋_GBK" w:cs="宋体"/>
                <w:kern w:val="0"/>
                <w:szCs w:val="21"/>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住房保障支出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住房改革支出</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　</w:t>
            </w:r>
          </w:p>
        </w:tc>
      </w:tr>
      <w:tr>
        <w:tblPrEx>
          <w:tblCellMar>
            <w:top w:w="0" w:type="dxa"/>
            <w:left w:w="108" w:type="dxa"/>
            <w:bottom w:w="0" w:type="dxa"/>
            <w:right w:w="108" w:type="dxa"/>
          </w:tblCellMar>
        </w:tblPrEx>
        <w:trPr>
          <w:cantSplit/>
          <w:trHeight w:val="360" w:hRule="atLeast"/>
          <w:jc w:val="center"/>
        </w:trPr>
        <w:tc>
          <w:tcPr>
            <w:tcW w:w="1129"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4861"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2210201</w:t>
            </w:r>
          </w:p>
        </w:tc>
        <w:tc>
          <w:tcPr>
            <w:tcW w:w="435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108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3.28</w:t>
            </w:r>
          </w:p>
        </w:tc>
        <w:tc>
          <w:tcPr>
            <w:tcW w:w="0" w:type="auto"/>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　</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r>
        <w:rPr>
          <w:rFonts w:hint="eastAsia"/>
        </w:rPr>
        <w:t>部门预算一般公共预算财政拨款基本支出表</w:t>
      </w:r>
    </w:p>
    <w:tbl>
      <w:tblPr>
        <w:tblStyle w:val="11"/>
        <w:tblW w:w="0" w:type="auto"/>
        <w:tblInd w:w="392" w:type="dxa"/>
        <w:tblLayout w:type="fixed"/>
        <w:tblCellMar>
          <w:top w:w="0" w:type="dxa"/>
          <w:left w:w="108" w:type="dxa"/>
          <w:bottom w:w="0" w:type="dxa"/>
          <w:right w:w="108" w:type="dxa"/>
        </w:tblCellMar>
      </w:tblPr>
      <w:tblGrid>
        <w:gridCol w:w="1721"/>
        <w:gridCol w:w="1256"/>
        <w:gridCol w:w="4369"/>
        <w:gridCol w:w="2145"/>
        <w:gridCol w:w="2145"/>
        <w:gridCol w:w="2146"/>
      </w:tblGrid>
      <w:tr>
        <w:tblPrEx>
          <w:tblCellMar>
            <w:top w:w="0" w:type="dxa"/>
            <w:left w:w="108" w:type="dxa"/>
            <w:bottom w:w="0" w:type="dxa"/>
            <w:right w:w="108" w:type="dxa"/>
          </w:tblCellMar>
        </w:tblPrEx>
        <w:trPr>
          <w:cantSplit/>
          <w:trHeight w:val="570" w:hRule="atLeast"/>
          <w:tblHeader/>
        </w:trPr>
        <w:tc>
          <w:tcPr>
            <w:tcW w:w="13782" w:type="dxa"/>
            <w:gridSpan w:val="6"/>
            <w:tcBorders>
              <w:top w:val="nil"/>
              <w:left w:val="nil"/>
              <w:bottom w:val="single" w:color="auto" w:sz="4" w:space="0"/>
              <w:right w:val="nil"/>
            </w:tcBorders>
            <w:shd w:val="clear" w:color="auto" w:fill="auto"/>
            <w:vAlign w:val="center"/>
          </w:tcPr>
          <w:p>
            <w:pPr>
              <w:widowControl/>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eastAsia="方正书宋_GBK"/>
                <w:b/>
                <w:bCs/>
                <w:kern w:val="0"/>
                <w:sz w:val="24"/>
                <w:lang w:eastAsia="zh-CN"/>
              </w:rPr>
              <w:t>预算年度：2022</w:t>
            </w:r>
            <w:r>
              <w:rPr>
                <w:rFonts w:hint="eastAsia"/>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cantSplit/>
          <w:trHeight w:val="480" w:hRule="atLeast"/>
          <w:tblHeader/>
        </w:trPr>
        <w:tc>
          <w:tcPr>
            <w:tcW w:w="172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5625"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6436" w:type="dxa"/>
            <w:gridSpan w:val="3"/>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r>
      <w:tr>
        <w:tblPrEx>
          <w:tblCellMar>
            <w:top w:w="0" w:type="dxa"/>
            <w:left w:w="108" w:type="dxa"/>
            <w:bottom w:w="0" w:type="dxa"/>
            <w:right w:w="108" w:type="dxa"/>
          </w:tblCellMar>
        </w:tblPrEx>
        <w:trPr>
          <w:cantSplit/>
          <w:trHeight w:val="645" w:hRule="atLeast"/>
          <w:tblHeader/>
        </w:trPr>
        <w:tc>
          <w:tcPr>
            <w:tcW w:w="172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2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经济分类科目编码</w:t>
            </w:r>
          </w:p>
        </w:tc>
        <w:tc>
          <w:tcPr>
            <w:tcW w:w="43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人员经费</w:t>
            </w:r>
          </w:p>
        </w:tc>
        <w:tc>
          <w:tcPr>
            <w:tcW w:w="214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公用经费</w:t>
            </w:r>
          </w:p>
        </w:tc>
      </w:tr>
      <w:tr>
        <w:tblPrEx>
          <w:tblCellMar>
            <w:top w:w="0" w:type="dxa"/>
            <w:left w:w="108" w:type="dxa"/>
            <w:bottom w:w="0" w:type="dxa"/>
            <w:right w:w="108" w:type="dxa"/>
          </w:tblCellMar>
        </w:tblPrEx>
        <w:trPr>
          <w:cantSplit/>
          <w:trHeight w:val="336" w:hRule="atLeast"/>
          <w:tblHeader/>
        </w:trPr>
        <w:tc>
          <w:tcPr>
            <w:tcW w:w="172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25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436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214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214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w:t>
            </w:r>
          </w:p>
        </w:tc>
        <w:tc>
          <w:tcPr>
            <w:tcW w:w="125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方正书宋_GBK" w:eastAsia="方正书宋_GBK"/>
                <w:kern w:val="0"/>
                <w:szCs w:val="21"/>
              </w:rPr>
            </w:pPr>
            <w:r>
              <w:rPr>
                <w:rFonts w:hint="eastAsia" w:ascii="方正书宋_GBK" w:eastAsia="方正书宋_GBK"/>
                <w:kern w:val="0"/>
                <w:szCs w:val="21"/>
              </w:rPr>
              <w:t>　</w:t>
            </w:r>
          </w:p>
        </w:tc>
        <w:tc>
          <w:tcPr>
            <w:tcW w:w="436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合计</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54.28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47.70</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6.58</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2</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工资福利支出</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47.58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47.58</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3</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基本工资</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14.10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14.10</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4</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30102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津贴补贴</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15.10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15.10</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5</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30103</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奖金</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8.37</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8.37</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6</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30108</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机关事业单位基本养老保险缴费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4.37</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4.37</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7</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30110</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城镇职工基本医疗保险缴费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1.86</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1.86</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8</w:t>
            </w:r>
          </w:p>
        </w:tc>
        <w:tc>
          <w:tcPr>
            <w:tcW w:w="1256"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30111</w:t>
            </w:r>
          </w:p>
        </w:tc>
        <w:tc>
          <w:tcPr>
            <w:tcW w:w="4369"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公务员医疗补助缴费</w:t>
            </w:r>
          </w:p>
        </w:tc>
        <w:tc>
          <w:tcPr>
            <w:tcW w:w="2145"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0.27</w:t>
            </w:r>
          </w:p>
        </w:tc>
        <w:tc>
          <w:tcPr>
            <w:tcW w:w="2145"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0.27</w:t>
            </w:r>
          </w:p>
        </w:tc>
        <w:tc>
          <w:tcPr>
            <w:tcW w:w="2146" w:type="dxa"/>
            <w:tcBorders>
              <w:top w:val="single" w:color="auto" w:sz="4" w:space="0"/>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9</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30112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其他社会保障缴费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0.23</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0.23</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10</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30113</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住房公积金</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3.28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3.28</w:t>
            </w: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11</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商品和服务支出</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6.58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6.58</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12</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30201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办公费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1.20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1.20</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13</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30207</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邮电费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1.84</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1.84</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14</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30211</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差旅费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0.30</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0.30</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15</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30228</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工会经费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0.31</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0.31</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16</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30229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福利费</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0.35</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0.35</w:t>
            </w:r>
          </w:p>
        </w:tc>
      </w:tr>
      <w:tr>
        <w:tblPrEx>
          <w:tblCellMar>
            <w:top w:w="0" w:type="dxa"/>
            <w:left w:w="108" w:type="dxa"/>
            <w:bottom w:w="0" w:type="dxa"/>
            <w:right w:w="108" w:type="dxa"/>
          </w:tblCellMar>
        </w:tblPrEx>
        <w:trPr>
          <w:cantSplit/>
          <w:trHeight w:val="435" w:hRule="atLeast"/>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17</w:t>
            </w:r>
          </w:p>
        </w:tc>
        <w:tc>
          <w:tcPr>
            <w:tcW w:w="125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30239</w:t>
            </w:r>
          </w:p>
        </w:tc>
        <w:tc>
          <w:tcPr>
            <w:tcW w:w="4369"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其他交通费用</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2.58</w:t>
            </w:r>
          </w:p>
        </w:tc>
        <w:tc>
          <w:tcPr>
            <w:tcW w:w="2145"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c>
          <w:tcPr>
            <w:tcW w:w="2146" w:type="dxa"/>
            <w:tcBorders>
              <w:top w:val="nil"/>
              <w:left w:val="nil"/>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2.58</w:t>
            </w:r>
          </w:p>
        </w:tc>
      </w:tr>
      <w:tr>
        <w:tblPrEx>
          <w:tblCellMar>
            <w:top w:w="0" w:type="dxa"/>
            <w:left w:w="108" w:type="dxa"/>
            <w:bottom w:w="0" w:type="dxa"/>
            <w:right w:w="108" w:type="dxa"/>
          </w:tblCellMar>
        </w:tblPrEx>
        <w:trPr>
          <w:cantSplit/>
          <w:trHeight w:val="440" w:hRule="atLeast"/>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18</w:t>
            </w:r>
          </w:p>
        </w:tc>
        <w:tc>
          <w:tcPr>
            <w:tcW w:w="125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303</w:t>
            </w:r>
          </w:p>
        </w:tc>
        <w:tc>
          <w:tcPr>
            <w:tcW w:w="4369"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eastAsia" w:ascii="方正书宋_GBK" w:eastAsia="方正书宋_GBK"/>
                <w:kern w:val="0"/>
                <w:szCs w:val="21"/>
              </w:rPr>
            </w:pPr>
            <w:r>
              <w:rPr>
                <w:rFonts w:hint="default" w:ascii="方正书宋_GBK" w:eastAsia="方正书宋_GBK"/>
                <w:kern w:val="0"/>
                <w:szCs w:val="21"/>
                <w:lang w:val="en-US" w:eastAsia="zh-CN"/>
              </w:rPr>
              <w:t>对个人和家庭的补助</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default" w:ascii="方正书宋_GBK" w:hAnsi="宋体" w:eastAsia="方正书宋_GBK" w:cs="宋体"/>
                <w:kern w:val="0"/>
                <w:szCs w:val="21"/>
                <w:lang w:val="en-US" w:eastAsia="zh-CN"/>
              </w:rPr>
              <w:t>0.12</w:t>
            </w:r>
          </w:p>
        </w:tc>
        <w:tc>
          <w:tcPr>
            <w:tcW w:w="214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r>
        <w:tblPrEx>
          <w:tblCellMar>
            <w:top w:w="0" w:type="dxa"/>
            <w:left w:w="108" w:type="dxa"/>
            <w:bottom w:w="0" w:type="dxa"/>
            <w:right w:w="108" w:type="dxa"/>
          </w:tblCellMar>
        </w:tblPrEx>
        <w:trPr>
          <w:cantSplit/>
          <w:trHeight w:val="435" w:hRule="atLeast"/>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19</w:t>
            </w:r>
          </w:p>
        </w:tc>
        <w:tc>
          <w:tcPr>
            <w:tcW w:w="125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eastAsia" w:ascii="方正书宋_GBK" w:eastAsia="方正书宋_GBK"/>
                <w:kern w:val="0"/>
                <w:szCs w:val="21"/>
                <w:lang w:val="en-US" w:eastAsia="zh-CN"/>
              </w:rPr>
              <w:t>30399</w:t>
            </w:r>
          </w:p>
        </w:tc>
        <w:tc>
          <w:tcPr>
            <w:tcW w:w="4369"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eastAsia="方正书宋_GBK"/>
                <w:kern w:val="0"/>
                <w:szCs w:val="21"/>
                <w:lang w:val="en-US" w:eastAsia="zh-CN"/>
              </w:rPr>
            </w:pPr>
            <w:r>
              <w:rPr>
                <w:rFonts w:hint="default" w:ascii="方正书宋_GBK" w:eastAsia="方正书宋_GBK"/>
                <w:kern w:val="0"/>
                <w:szCs w:val="21"/>
                <w:lang w:val="en-US" w:eastAsia="zh-CN"/>
              </w:rPr>
              <w:t>其他对个人和家庭的补助</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0.12</w:t>
            </w:r>
          </w:p>
        </w:tc>
        <w:tc>
          <w:tcPr>
            <w:tcW w:w="2145"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r>
              <w:rPr>
                <w:rFonts w:hint="eastAsia" w:ascii="方正书宋_GBK" w:hAnsi="宋体" w:eastAsia="方正书宋_GBK" w:cs="宋体"/>
                <w:kern w:val="0"/>
                <w:szCs w:val="21"/>
                <w:lang w:val="en-US" w:eastAsia="zh-CN"/>
              </w:rPr>
              <w:t>0.12</w:t>
            </w:r>
          </w:p>
        </w:tc>
        <w:tc>
          <w:tcPr>
            <w:tcW w:w="2146"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jc w:val="left"/>
              <w:rPr>
                <w:rFonts w:hint="default" w:ascii="方正书宋_GBK" w:hAnsi="宋体" w:eastAsia="方正书宋_GBK" w:cs="宋体"/>
                <w:kern w:val="0"/>
                <w:szCs w:val="21"/>
                <w:lang w:val="en-US" w:eastAsia="zh-CN"/>
              </w:rPr>
            </w:pP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r>
        <w:rPr>
          <w:rFonts w:hint="eastAsia"/>
        </w:rPr>
        <w:t>部门预算政府基金预算财政拨款支出表</w:t>
      </w:r>
    </w:p>
    <w:tbl>
      <w:tblPr>
        <w:tblStyle w:val="11"/>
        <w:tblW w:w="13466" w:type="dxa"/>
        <w:tblInd w:w="534" w:type="dxa"/>
        <w:tblLayout w:type="autofit"/>
        <w:tblCellMar>
          <w:top w:w="0" w:type="dxa"/>
          <w:left w:w="108" w:type="dxa"/>
          <w:bottom w:w="0" w:type="dxa"/>
          <w:right w:w="108" w:type="dxa"/>
        </w:tblCellMar>
      </w:tblPr>
      <w:tblGrid>
        <w:gridCol w:w="1134"/>
        <w:gridCol w:w="1417"/>
        <w:gridCol w:w="4166"/>
        <w:gridCol w:w="2620"/>
        <w:gridCol w:w="1861"/>
        <w:gridCol w:w="2268"/>
      </w:tblGrid>
      <w:tr>
        <w:tblPrEx>
          <w:tblCellMar>
            <w:top w:w="0" w:type="dxa"/>
            <w:left w:w="108" w:type="dxa"/>
            <w:bottom w:w="0" w:type="dxa"/>
            <w:right w:w="108" w:type="dxa"/>
          </w:tblCellMar>
        </w:tblPrEx>
        <w:trPr>
          <w:trHeight w:val="435" w:hRule="atLeast"/>
        </w:trPr>
        <w:tc>
          <w:tcPr>
            <w:tcW w:w="13466" w:type="dxa"/>
            <w:gridSpan w:val="6"/>
            <w:tcBorders>
              <w:top w:val="nil"/>
              <w:left w:val="nil"/>
              <w:bottom w:val="single" w:color="auto" w:sz="4" w:space="0"/>
              <w:right w:val="nil"/>
            </w:tcBorders>
            <w:shd w:val="clear" w:color="auto" w:fill="auto"/>
            <w:vAlign w:val="center"/>
          </w:tcPr>
          <w:p>
            <w:pPr>
              <w:widowControl/>
              <w:jc w:val="left"/>
              <w:rPr>
                <w:b/>
                <w:bCs/>
                <w:kern w:val="0"/>
                <w:sz w:val="24"/>
              </w:rPr>
            </w:pPr>
            <w:r>
              <w:rPr>
                <w:rFonts w:hint="eastAsia" w:eastAsia="方正书宋_GBK"/>
                <w:b/>
                <w:bCs/>
                <w:kern w:val="0"/>
                <w:sz w:val="24"/>
                <w:lang w:eastAsia="zh-CN"/>
              </w:rPr>
              <w:t>225002中共承德市鹰手营子矿区委机构编制委员会办公室</w:t>
            </w:r>
            <w:r>
              <w:rPr>
                <w:rFonts w:hint="eastAsia" w:ascii="方正书宋_GBK" w:eastAsia="方正书宋_GBK"/>
                <w:b/>
                <w:bCs/>
                <w:kern w:val="0"/>
                <w:sz w:val="24"/>
              </w:rPr>
              <w:t xml:space="preserve">              </w:t>
            </w:r>
            <w:r>
              <w:rPr>
                <w:rFonts w:hint="eastAsia" w:ascii="方正书宋_GBK" w:eastAsia="方正书宋_GBK"/>
                <w:b/>
                <w:bCs/>
                <w:kern w:val="0"/>
                <w:sz w:val="24"/>
                <w:lang w:eastAsia="zh-CN"/>
              </w:rPr>
              <w:t>预算年度：2022</w:t>
            </w:r>
            <w:r>
              <w:rPr>
                <w:rFonts w:hint="eastAsia"/>
                <w:b/>
                <w:bCs/>
                <w:kern w:val="0"/>
                <w:sz w:val="24"/>
              </w:rPr>
              <w:t xml:space="preserve">                 </w:t>
            </w: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435"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5583"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2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8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trHeight w:val="825"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41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186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书宋_GBK" w:eastAsia="方正书宋_GBK"/>
                <w:b/>
                <w:bCs/>
                <w:kern w:val="0"/>
                <w:szCs w:val="21"/>
              </w:rPr>
            </w:pP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4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1</w:t>
            </w:r>
          </w:p>
        </w:tc>
        <w:tc>
          <w:tcPr>
            <w:tcW w:w="416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2</w:t>
            </w:r>
          </w:p>
        </w:tc>
        <w:tc>
          <w:tcPr>
            <w:tcW w:w="26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3</w:t>
            </w:r>
          </w:p>
        </w:tc>
        <w:tc>
          <w:tcPr>
            <w:tcW w:w="18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4</w:t>
            </w:r>
          </w:p>
        </w:tc>
        <w:tc>
          <w:tcPr>
            <w:tcW w:w="22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5</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2</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3</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4</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450"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5</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4166"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w:t>
            </w:r>
          </w:p>
        </w:tc>
        <w:tc>
          <w:tcPr>
            <w:tcW w:w="2620"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1"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40" w:hRule="atLeast"/>
        </w:trPr>
        <w:tc>
          <w:tcPr>
            <w:tcW w:w="11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12332" w:type="dxa"/>
            <w:gridSpan w:val="5"/>
            <w:tcBorders>
              <w:top w:val="single" w:color="auto" w:sz="4" w:space="0"/>
              <w:left w:val="nil"/>
              <w:bottom w:val="nil"/>
              <w:right w:val="nil"/>
            </w:tcBorders>
            <w:shd w:val="clear" w:color="auto" w:fill="auto"/>
            <w:noWrap/>
            <w:vAlign w:val="center"/>
          </w:tcPr>
          <w:p>
            <w:pPr>
              <w:widowControl/>
              <w:jc w:val="left"/>
              <w:rPr>
                <w:rFonts w:ascii="方正书宋_GBK" w:hAnsi="宋体" w:eastAsia="方正书宋_GBK" w:cs="宋体"/>
                <w:kern w:val="0"/>
                <w:szCs w:val="21"/>
              </w:rPr>
            </w:pPr>
            <w:r>
              <w:rPr>
                <w:rFonts w:hint="eastAsia" w:ascii="方正书宋_GBK" w:hAnsi="宋体" w:eastAsia="方正书宋_GBK" w:cs="宋体"/>
                <w:kern w:val="0"/>
                <w:szCs w:val="21"/>
              </w:rPr>
              <w:t>注：无政府基金预算，空表列示。</w:t>
            </w:r>
          </w:p>
        </w:tc>
      </w:tr>
    </w:tbl>
    <w:p>
      <w:pPr>
        <w:autoSpaceDE w:val="0"/>
        <w:autoSpaceDN w:val="0"/>
        <w:adjustRightInd w:val="0"/>
        <w:ind w:firstLine="48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p>
    <w:p>
      <w:pPr>
        <w:pStyle w:val="3"/>
        <w:rPr>
          <w:rFonts w:ascii="仿宋_GB2312" w:hAnsi="仿宋_GB2312" w:eastAsia="仿宋_GB2312" w:cs="仿宋_GB2312"/>
          <w:sz w:val="24"/>
          <w:highlight w:val="green"/>
        </w:rPr>
      </w:pPr>
      <w:r>
        <w:rPr>
          <w:rFonts w:hint="eastAsia"/>
        </w:rPr>
        <w:t>部门预算国有资本经营预算财政拨款支出表</w:t>
      </w:r>
    </w:p>
    <w:tbl>
      <w:tblPr>
        <w:tblStyle w:val="11"/>
        <w:tblW w:w="13750" w:type="dxa"/>
        <w:tblInd w:w="250" w:type="dxa"/>
        <w:tblLayout w:type="autofit"/>
        <w:tblCellMar>
          <w:top w:w="0" w:type="dxa"/>
          <w:left w:w="108" w:type="dxa"/>
          <w:bottom w:w="0" w:type="dxa"/>
          <w:right w:w="108" w:type="dxa"/>
        </w:tblCellMar>
      </w:tblPr>
      <w:tblGrid>
        <w:gridCol w:w="1134"/>
        <w:gridCol w:w="1276"/>
        <w:gridCol w:w="2693"/>
        <w:gridCol w:w="3969"/>
        <w:gridCol w:w="2835"/>
        <w:gridCol w:w="1843"/>
      </w:tblGrid>
      <w:tr>
        <w:tblPrEx>
          <w:tblCellMar>
            <w:top w:w="0" w:type="dxa"/>
            <w:left w:w="108" w:type="dxa"/>
            <w:bottom w:w="0" w:type="dxa"/>
            <w:right w:w="108" w:type="dxa"/>
          </w:tblCellMar>
        </w:tblPrEx>
        <w:trPr>
          <w:trHeight w:val="495" w:hRule="atLeast"/>
        </w:trPr>
        <w:tc>
          <w:tcPr>
            <w:tcW w:w="5103" w:type="dxa"/>
            <w:gridSpan w:val="3"/>
            <w:tcBorders>
              <w:top w:val="nil"/>
              <w:left w:val="nil"/>
              <w:bottom w:val="single" w:color="auto" w:sz="4" w:space="0"/>
              <w:right w:val="nil"/>
            </w:tcBorders>
            <w:shd w:val="clear" w:color="auto" w:fill="auto"/>
            <w:vAlign w:val="center"/>
          </w:tcPr>
          <w:p>
            <w:pPr>
              <w:widowControl/>
              <w:jc w:val="left"/>
              <w:rPr>
                <w:rFonts w:hint="eastAsia" w:eastAsia="宋体"/>
                <w:b/>
                <w:bCs/>
                <w:kern w:val="0"/>
                <w:sz w:val="24"/>
                <w:lang w:eastAsia="zh-CN"/>
              </w:rPr>
            </w:pPr>
            <w:r>
              <w:rPr>
                <w:rFonts w:hint="eastAsia"/>
                <w:b/>
                <w:bCs/>
                <w:kern w:val="0"/>
                <w:sz w:val="24"/>
                <w:lang w:eastAsia="zh-CN"/>
              </w:rPr>
              <w:t>225002中共承德市鹰手营子矿区委机构编制委员会办公室</w:t>
            </w:r>
          </w:p>
        </w:tc>
        <w:tc>
          <w:tcPr>
            <w:tcW w:w="3969" w:type="dxa"/>
            <w:tcBorders>
              <w:top w:val="nil"/>
              <w:left w:val="nil"/>
              <w:bottom w:val="nil"/>
              <w:right w:val="nil"/>
            </w:tcBorders>
            <w:shd w:val="clear" w:color="auto" w:fill="auto"/>
            <w:vAlign w:val="center"/>
          </w:tcPr>
          <w:p>
            <w:pPr>
              <w:widowControl/>
              <w:jc w:val="left"/>
              <w:rPr>
                <w:rFonts w:hint="eastAsia" w:eastAsia="宋体"/>
                <w:b/>
                <w:bCs/>
                <w:kern w:val="0"/>
                <w:sz w:val="24"/>
                <w:lang w:eastAsia="zh-CN"/>
              </w:rPr>
            </w:pPr>
            <w:r>
              <w:rPr>
                <w:rFonts w:hint="eastAsia" w:ascii="方正书宋_GBK" w:eastAsia="方正书宋_GBK"/>
                <w:b/>
                <w:bCs/>
                <w:kern w:val="0"/>
                <w:sz w:val="24"/>
                <w:lang w:eastAsia="zh-CN"/>
              </w:rPr>
              <w:t>预算年度：2022</w:t>
            </w:r>
          </w:p>
        </w:tc>
        <w:tc>
          <w:tcPr>
            <w:tcW w:w="2835" w:type="dxa"/>
            <w:tcBorders>
              <w:top w:val="nil"/>
              <w:left w:val="nil"/>
              <w:bottom w:val="nil"/>
              <w:right w:val="nil"/>
            </w:tcBorders>
            <w:shd w:val="clear" w:color="auto" w:fill="auto"/>
            <w:noWrap/>
          </w:tcPr>
          <w:p>
            <w:pPr>
              <w:widowControl/>
              <w:jc w:val="left"/>
              <w:rPr>
                <w:b/>
                <w:bCs/>
                <w:kern w:val="0"/>
                <w:sz w:val="24"/>
              </w:rPr>
            </w:pPr>
          </w:p>
        </w:tc>
        <w:tc>
          <w:tcPr>
            <w:tcW w:w="1843" w:type="dxa"/>
            <w:tcBorders>
              <w:top w:val="nil"/>
              <w:left w:val="nil"/>
              <w:bottom w:val="nil"/>
              <w:right w:val="nil"/>
            </w:tcBorders>
            <w:shd w:val="clear" w:color="auto" w:fill="auto"/>
            <w:vAlign w:val="center"/>
          </w:tcPr>
          <w:p>
            <w:pPr>
              <w:widowControl/>
              <w:jc w:val="right"/>
              <w:rPr>
                <w:b/>
                <w:bCs/>
                <w:kern w:val="0"/>
                <w:sz w:val="24"/>
              </w:rPr>
            </w:pP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54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3969"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基本支出</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项目支出</w:t>
            </w:r>
          </w:p>
        </w:tc>
      </w:tr>
      <w:tr>
        <w:tblPrEx>
          <w:tblCellMar>
            <w:top w:w="0" w:type="dxa"/>
            <w:left w:w="108" w:type="dxa"/>
            <w:bottom w:w="0" w:type="dxa"/>
            <w:right w:w="108" w:type="dxa"/>
          </w:tblCellMar>
        </w:tblPrEx>
        <w:trPr>
          <w:trHeight w:val="929" w:hRule="atLeast"/>
        </w:trPr>
        <w:tc>
          <w:tcPr>
            <w:tcW w:w="113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功能分类科目编码</w:t>
            </w:r>
          </w:p>
        </w:tc>
        <w:tc>
          <w:tcPr>
            <w:tcW w:w="269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科目名称</w:t>
            </w:r>
          </w:p>
        </w:tc>
        <w:tc>
          <w:tcPr>
            <w:tcW w:w="396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269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3969"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283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0" w:hRule="atLeast"/>
        </w:trPr>
        <w:tc>
          <w:tcPr>
            <w:tcW w:w="1134" w:type="dxa"/>
            <w:tcBorders>
              <w:top w:val="nil"/>
              <w:left w:val="single" w:color="auto" w:sz="4" w:space="0"/>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3969"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2835"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nil"/>
              <w:left w:val="nil"/>
              <w:bottom w:val="single" w:color="auto" w:sz="4" w:space="0"/>
              <w:right w:val="single" w:color="auto" w:sz="4" w:space="0"/>
            </w:tcBorders>
            <w:shd w:val="clear" w:color="auto" w:fill="auto"/>
            <w:noWra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0" w:hRule="atLeast"/>
        </w:trPr>
        <w:tc>
          <w:tcPr>
            <w:tcW w:w="1134" w:type="dxa"/>
            <w:tcBorders>
              <w:top w:val="nil"/>
              <w:left w:val="nil"/>
              <w:bottom w:val="nil"/>
              <w:right w:val="nil"/>
            </w:tcBorders>
            <w:shd w:val="clear" w:color="auto" w:fill="auto"/>
            <w:noWrap/>
          </w:tcPr>
          <w:p>
            <w:pPr>
              <w:widowControl/>
              <w:jc w:val="center"/>
              <w:rPr>
                <w:rFonts w:ascii="宋体" w:hAnsi="宋体" w:cs="宋体"/>
                <w:kern w:val="0"/>
                <w:sz w:val="18"/>
                <w:szCs w:val="18"/>
              </w:rPr>
            </w:pPr>
          </w:p>
        </w:tc>
        <w:tc>
          <w:tcPr>
            <w:tcW w:w="12616" w:type="dxa"/>
            <w:gridSpan w:val="5"/>
            <w:tcBorders>
              <w:top w:val="single" w:color="auto" w:sz="4" w:space="0"/>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注：无国有资本经营预算，空表列示。</w:t>
            </w:r>
          </w:p>
        </w:tc>
      </w:tr>
    </w:tbl>
    <w:p>
      <w:pPr>
        <w:pStyle w:val="3"/>
        <w:rPr>
          <w:rFonts w:ascii="仿宋_GB2312" w:hAnsi="仿宋_GB2312" w:eastAsia="仿宋_GB2312" w:cs="仿宋_GB2312"/>
          <w:sz w:val="24"/>
          <w:highlight w:val="green"/>
        </w:rPr>
      </w:pPr>
      <w:r>
        <w:rPr>
          <w:rFonts w:hint="eastAsia"/>
        </w:rPr>
        <w:t>部门预算财政拨款“三公”经费支出表</w:t>
      </w:r>
    </w:p>
    <w:tbl>
      <w:tblPr>
        <w:tblStyle w:val="11"/>
        <w:tblW w:w="0" w:type="auto"/>
        <w:tblInd w:w="250" w:type="dxa"/>
        <w:tblLayout w:type="fixed"/>
        <w:tblCellMar>
          <w:top w:w="0" w:type="dxa"/>
          <w:left w:w="108" w:type="dxa"/>
          <w:bottom w:w="0" w:type="dxa"/>
          <w:right w:w="108" w:type="dxa"/>
        </w:tblCellMar>
      </w:tblPr>
      <w:tblGrid>
        <w:gridCol w:w="851"/>
        <w:gridCol w:w="3761"/>
        <w:gridCol w:w="1659"/>
        <w:gridCol w:w="203"/>
        <w:gridCol w:w="1862"/>
        <w:gridCol w:w="1113"/>
        <w:gridCol w:w="750"/>
        <w:gridCol w:w="1177"/>
        <w:gridCol w:w="685"/>
        <w:gridCol w:w="1863"/>
      </w:tblGrid>
      <w:tr>
        <w:tblPrEx>
          <w:tblCellMar>
            <w:top w:w="0" w:type="dxa"/>
            <w:left w:w="108" w:type="dxa"/>
            <w:bottom w:w="0" w:type="dxa"/>
            <w:right w:w="108" w:type="dxa"/>
          </w:tblCellMar>
        </w:tblPrEx>
        <w:trPr>
          <w:trHeight w:val="435" w:hRule="atLeast"/>
        </w:trPr>
        <w:tc>
          <w:tcPr>
            <w:tcW w:w="4612" w:type="dxa"/>
            <w:gridSpan w:val="2"/>
            <w:tcBorders>
              <w:top w:val="nil"/>
              <w:left w:val="nil"/>
              <w:bottom w:val="single" w:color="auto" w:sz="4" w:space="0"/>
              <w:right w:val="nil"/>
            </w:tcBorders>
            <w:shd w:val="clear" w:color="auto" w:fill="auto"/>
            <w:vAlign w:val="center"/>
          </w:tcPr>
          <w:p>
            <w:pPr>
              <w:widowControl/>
              <w:jc w:val="left"/>
              <w:rPr>
                <w:rFonts w:hint="eastAsia" w:eastAsia="宋体"/>
                <w:b/>
                <w:bCs/>
                <w:kern w:val="0"/>
                <w:sz w:val="24"/>
                <w:lang w:eastAsia="zh-CN"/>
              </w:rPr>
            </w:pPr>
            <w:r>
              <w:rPr>
                <w:rFonts w:hint="eastAsia"/>
                <w:b/>
                <w:bCs/>
                <w:kern w:val="0"/>
                <w:sz w:val="24"/>
                <w:lang w:eastAsia="zh-CN"/>
              </w:rPr>
              <w:t>225002中共承德市鹰手营子矿区委机构编制委员会办公室</w:t>
            </w:r>
          </w:p>
        </w:tc>
        <w:tc>
          <w:tcPr>
            <w:tcW w:w="1659" w:type="dxa"/>
            <w:tcBorders>
              <w:top w:val="nil"/>
              <w:left w:val="nil"/>
              <w:bottom w:val="single" w:color="auto" w:sz="4" w:space="0"/>
              <w:right w:val="nil"/>
            </w:tcBorders>
            <w:shd w:val="clear" w:color="auto" w:fill="auto"/>
            <w:vAlign w:val="center"/>
          </w:tcPr>
          <w:p>
            <w:pPr>
              <w:widowControl/>
              <w:jc w:val="left"/>
              <w:rPr>
                <w:b/>
                <w:bCs/>
                <w:kern w:val="0"/>
                <w:sz w:val="24"/>
              </w:rPr>
            </w:pPr>
            <w:r>
              <w:rPr>
                <w:b/>
                <w:bCs/>
                <w:kern w:val="0"/>
                <w:sz w:val="24"/>
              </w:rPr>
              <w:t>　</w:t>
            </w:r>
          </w:p>
        </w:tc>
        <w:tc>
          <w:tcPr>
            <w:tcW w:w="3178" w:type="dxa"/>
            <w:gridSpan w:val="3"/>
            <w:tcBorders>
              <w:top w:val="nil"/>
              <w:left w:val="nil"/>
              <w:bottom w:val="nil"/>
              <w:right w:val="nil"/>
            </w:tcBorders>
            <w:shd w:val="clear" w:color="auto" w:fill="auto"/>
            <w:vAlign w:val="center"/>
          </w:tcPr>
          <w:p>
            <w:pPr>
              <w:widowControl/>
              <w:jc w:val="left"/>
              <w:rPr>
                <w:rFonts w:hint="eastAsia" w:eastAsia="宋体"/>
                <w:b/>
                <w:bCs/>
                <w:kern w:val="0"/>
                <w:sz w:val="24"/>
                <w:lang w:eastAsia="zh-CN"/>
              </w:rPr>
            </w:pPr>
            <w:r>
              <w:rPr>
                <w:rFonts w:hint="eastAsia" w:ascii="方正书宋_GBK" w:eastAsia="方正书宋_GBK"/>
                <w:b/>
                <w:bCs/>
                <w:kern w:val="0"/>
                <w:sz w:val="24"/>
                <w:lang w:eastAsia="zh-CN"/>
              </w:rPr>
              <w:t>预算年度：2022</w:t>
            </w:r>
          </w:p>
        </w:tc>
        <w:tc>
          <w:tcPr>
            <w:tcW w:w="1927" w:type="dxa"/>
            <w:gridSpan w:val="2"/>
            <w:tcBorders>
              <w:top w:val="nil"/>
              <w:left w:val="nil"/>
              <w:bottom w:val="nil"/>
              <w:right w:val="nil"/>
            </w:tcBorders>
            <w:shd w:val="clear" w:color="auto" w:fill="auto"/>
            <w:noWrap/>
          </w:tcPr>
          <w:p>
            <w:pPr>
              <w:widowControl/>
              <w:jc w:val="left"/>
              <w:rPr>
                <w:rFonts w:ascii="宋体" w:hAnsi="宋体" w:cs="宋体"/>
                <w:kern w:val="0"/>
                <w:sz w:val="18"/>
                <w:szCs w:val="18"/>
              </w:rPr>
            </w:pPr>
          </w:p>
        </w:tc>
        <w:tc>
          <w:tcPr>
            <w:tcW w:w="2548" w:type="dxa"/>
            <w:gridSpan w:val="2"/>
            <w:tcBorders>
              <w:top w:val="nil"/>
              <w:left w:val="nil"/>
              <w:bottom w:val="single" w:color="auto" w:sz="4" w:space="0"/>
              <w:right w:val="nil"/>
            </w:tcBorders>
            <w:shd w:val="clear" w:color="auto" w:fill="auto"/>
            <w:vAlign w:val="center"/>
          </w:tcPr>
          <w:p>
            <w:pPr>
              <w:widowControl/>
              <w:jc w:val="right"/>
              <w:rPr>
                <w:b/>
                <w:bCs/>
                <w:kern w:val="0"/>
                <w:sz w:val="24"/>
              </w:rPr>
            </w:pPr>
            <w:r>
              <w:rPr>
                <w:rFonts w:hint="eastAsia" w:ascii="方正书宋_GBK" w:eastAsia="方正书宋_GBK"/>
                <w:b/>
                <w:bCs/>
                <w:kern w:val="0"/>
                <w:sz w:val="24"/>
              </w:rPr>
              <w:t>金额单位：万元</w:t>
            </w:r>
          </w:p>
        </w:tc>
      </w:tr>
      <w:tr>
        <w:tblPrEx>
          <w:tblCellMar>
            <w:top w:w="0" w:type="dxa"/>
            <w:left w:w="108" w:type="dxa"/>
            <w:bottom w:w="0" w:type="dxa"/>
            <w:right w:w="108" w:type="dxa"/>
          </w:tblCellMar>
        </w:tblPrEx>
        <w:trPr>
          <w:trHeight w:val="390" w:hRule="atLeast"/>
        </w:trPr>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序号</w:t>
            </w:r>
          </w:p>
        </w:tc>
        <w:tc>
          <w:tcPr>
            <w:tcW w:w="37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项</w:t>
            </w:r>
            <w:r>
              <w:rPr>
                <w:rFonts w:ascii="方正书宋_GBK" w:eastAsia="方正书宋_GBK"/>
                <w:b/>
                <w:bCs/>
                <w:kern w:val="0"/>
                <w:szCs w:val="21"/>
              </w:rPr>
              <w:t xml:space="preserve">  </w:t>
            </w:r>
            <w:r>
              <w:rPr>
                <w:rFonts w:hint="eastAsia" w:ascii="方正书宋_GBK" w:eastAsia="方正书宋_GBK"/>
                <w:b/>
                <w:bCs/>
                <w:kern w:val="0"/>
                <w:szCs w:val="21"/>
              </w:rPr>
              <w:t>目</w:t>
            </w:r>
          </w:p>
        </w:tc>
        <w:tc>
          <w:tcPr>
            <w:tcW w:w="9312" w:type="dxa"/>
            <w:gridSpan w:val="8"/>
            <w:tcBorders>
              <w:top w:val="single" w:color="auto" w:sz="4" w:space="0"/>
              <w:left w:val="nil"/>
              <w:bottom w:val="single" w:color="auto" w:sz="4" w:space="0"/>
              <w:right w:val="single" w:color="000000"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资金来源</w:t>
            </w:r>
          </w:p>
        </w:tc>
      </w:tr>
      <w:tr>
        <w:tblPrEx>
          <w:tblCellMar>
            <w:top w:w="0" w:type="dxa"/>
            <w:left w:w="108" w:type="dxa"/>
            <w:bottom w:w="0" w:type="dxa"/>
            <w:right w:w="108" w:type="dxa"/>
          </w:tblCellMar>
        </w:tblPrEx>
        <w:trPr>
          <w:trHeight w:val="648"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3761"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方正书宋_GBK" w:eastAsia="方正书宋_GBK"/>
                <w:b/>
                <w:bCs/>
                <w:kern w:val="0"/>
                <w:szCs w:val="21"/>
              </w:rPr>
            </w:pP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合计</w:t>
            </w:r>
          </w:p>
        </w:tc>
        <w:tc>
          <w:tcPr>
            <w:tcW w:w="18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一般公共预算</w:t>
            </w:r>
          </w:p>
          <w:p>
            <w:pPr>
              <w:widowControl/>
              <w:adjustRightInd w:val="0"/>
              <w:snapToGrid w:val="0"/>
              <w:ind w:firstLine="315" w:firstLineChars="150"/>
              <w:jc w:val="center"/>
              <w:rPr>
                <w:rFonts w:ascii="方正书宋_GBK" w:eastAsia="方正书宋_GBK"/>
                <w:b/>
                <w:bCs/>
                <w:kern w:val="0"/>
                <w:szCs w:val="21"/>
              </w:rPr>
            </w:pPr>
            <w:r>
              <w:rPr>
                <w:rFonts w:hint="eastAsia" w:ascii="方正书宋_GBK" w:eastAsia="方正书宋_GBK"/>
                <w:b/>
                <w:bCs/>
                <w:kern w:val="0"/>
                <w:szCs w:val="21"/>
              </w:rPr>
              <w:t>财政拨款</w:t>
            </w:r>
          </w:p>
        </w:tc>
        <w:tc>
          <w:tcPr>
            <w:tcW w:w="1863"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政府性基金</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财政拨款</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国有资本经营</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预算财政拨款</w:t>
            </w:r>
          </w:p>
        </w:tc>
        <w:tc>
          <w:tcPr>
            <w:tcW w:w="18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财政专户</w:t>
            </w:r>
          </w:p>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核拨资金</w:t>
            </w:r>
          </w:p>
        </w:tc>
      </w:tr>
      <w:tr>
        <w:tblPrEx>
          <w:tblCellMar>
            <w:top w:w="0" w:type="dxa"/>
            <w:left w:w="108" w:type="dxa"/>
            <w:bottom w:w="0" w:type="dxa"/>
            <w:right w:w="108" w:type="dxa"/>
          </w:tblCellMar>
        </w:tblPrEx>
        <w:trPr>
          <w:trHeight w:val="39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hint="eastAsia" w:ascii="方正书宋_GBK" w:eastAsia="方正书宋_GBK"/>
                <w:b/>
                <w:bCs/>
                <w:kern w:val="0"/>
                <w:szCs w:val="21"/>
              </w:rPr>
              <w:t>栏次</w:t>
            </w:r>
          </w:p>
        </w:tc>
        <w:tc>
          <w:tcPr>
            <w:tcW w:w="376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1</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2</w:t>
            </w:r>
          </w:p>
        </w:tc>
        <w:tc>
          <w:tcPr>
            <w:tcW w:w="186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3</w:t>
            </w:r>
          </w:p>
        </w:tc>
        <w:tc>
          <w:tcPr>
            <w:tcW w:w="1863"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4</w:t>
            </w:r>
          </w:p>
        </w:tc>
        <w:tc>
          <w:tcPr>
            <w:tcW w:w="1862" w:type="dxa"/>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5</w:t>
            </w:r>
          </w:p>
        </w:tc>
        <w:tc>
          <w:tcPr>
            <w:tcW w:w="186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书宋_GBK" w:eastAsia="方正书宋_GBK"/>
                <w:b/>
                <w:bCs/>
                <w:kern w:val="0"/>
                <w:szCs w:val="21"/>
              </w:rPr>
            </w:pPr>
            <w:r>
              <w:rPr>
                <w:rFonts w:ascii="方正书宋_GBK" w:eastAsia="方正书宋_GBK"/>
                <w:b/>
                <w:bCs/>
                <w:kern w:val="0"/>
                <w:szCs w:val="21"/>
              </w:rPr>
              <w:t>6</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1</w:t>
            </w:r>
          </w:p>
        </w:tc>
        <w:tc>
          <w:tcPr>
            <w:tcW w:w="3761"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b/>
                <w:bCs/>
                <w:kern w:val="0"/>
                <w:sz w:val="24"/>
              </w:rPr>
            </w:pPr>
            <w:r>
              <w:rPr>
                <w:rFonts w:hint="eastAsia" w:ascii="方正仿宋_GBK" w:hAnsi="宋体" w:eastAsia="方正仿宋_GBK" w:cs="宋体"/>
                <w:b/>
                <w:bCs/>
                <w:kern w:val="0"/>
                <w:sz w:val="24"/>
              </w:rPr>
              <w:t>合计</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b/>
                <w:bCs/>
                <w:kern w:val="0"/>
                <w:sz w:val="24"/>
              </w:rPr>
            </w:pPr>
            <w:r>
              <w:rPr>
                <w:b/>
                <w:bCs/>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2</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一、因公出国（境）费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3</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二、公务用车购置及运维费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4</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r>
              <w:rPr>
                <w:rFonts w:hint="eastAsia" w:ascii="方正仿宋_GBK" w:eastAsia="方正仿宋_GBK"/>
                <w:kern w:val="0"/>
                <w:sz w:val="24"/>
              </w:rPr>
              <w:t>其中：公务用车购置费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5</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kern w:val="0"/>
                <w:sz w:val="24"/>
              </w:rPr>
              <w:t xml:space="preserve">          </w:t>
            </w:r>
            <w:r>
              <w:rPr>
                <w:rFonts w:hint="eastAsia" w:ascii="方正仿宋_GBK" w:eastAsia="方正仿宋_GBK"/>
                <w:kern w:val="0"/>
                <w:sz w:val="24"/>
              </w:rPr>
              <w:t>公务用车运行费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4"/>
              </w:rPr>
            </w:pPr>
            <w:r>
              <w:rPr>
                <w:kern w:val="0"/>
                <w:sz w:val="24"/>
              </w:rPr>
              <w:t>6</w:t>
            </w:r>
          </w:p>
        </w:tc>
        <w:tc>
          <w:tcPr>
            <w:tcW w:w="3761" w:type="dxa"/>
            <w:tcBorders>
              <w:top w:val="nil"/>
              <w:left w:val="nil"/>
              <w:bottom w:val="single" w:color="auto" w:sz="4" w:space="0"/>
              <w:right w:val="single" w:color="auto" w:sz="4" w:space="0"/>
            </w:tcBorders>
            <w:shd w:val="clear" w:color="auto" w:fill="auto"/>
            <w:noWrap/>
            <w:vAlign w:val="center"/>
          </w:tcPr>
          <w:p>
            <w:pPr>
              <w:widowControl/>
              <w:jc w:val="left"/>
              <w:rPr>
                <w:kern w:val="0"/>
                <w:sz w:val="24"/>
              </w:rPr>
            </w:pPr>
            <w:r>
              <w:rPr>
                <w:rFonts w:hint="eastAsia" w:ascii="方正仿宋_GBK" w:eastAsia="方正仿宋_GBK"/>
                <w:kern w:val="0"/>
                <w:sz w:val="24"/>
              </w:rPr>
              <w:t>三、公务接待费</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2"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p>
        </w:tc>
        <w:tc>
          <w:tcPr>
            <w:tcW w:w="1863"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2" w:type="dxa"/>
            <w:gridSpan w:val="2"/>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c>
          <w:tcPr>
            <w:tcW w:w="1863" w:type="dxa"/>
            <w:tcBorders>
              <w:top w:val="nil"/>
              <w:left w:val="nil"/>
              <w:bottom w:val="single" w:color="auto" w:sz="4" w:space="0"/>
              <w:right w:val="single" w:color="auto" w:sz="4" w:space="0"/>
            </w:tcBorders>
            <w:shd w:val="clear" w:color="auto" w:fill="auto"/>
            <w:noWrap/>
            <w:vAlign w:val="center"/>
          </w:tcPr>
          <w:p>
            <w:pPr>
              <w:widowControl/>
              <w:jc w:val="right"/>
              <w:rPr>
                <w:kern w:val="0"/>
                <w:sz w:val="24"/>
              </w:rPr>
            </w:pPr>
            <w:r>
              <w:rPr>
                <w:kern w:val="0"/>
                <w:sz w:val="24"/>
              </w:rPr>
              <w:t>　</w:t>
            </w:r>
          </w:p>
        </w:tc>
      </w:tr>
    </w:tbl>
    <w:p>
      <w:pPr>
        <w:autoSpaceDE w:val="0"/>
        <w:autoSpaceDN w:val="0"/>
        <w:adjustRightInd w:val="0"/>
        <w:ind w:firstLine="360" w:firstLineChars="200"/>
        <w:jc w:val="left"/>
        <w:rPr>
          <w:rFonts w:ascii="仿宋_GB2312" w:hAnsi="仿宋_GB2312" w:eastAsia="仿宋_GB2312" w:cs="仿宋_GB2312"/>
          <w:sz w:val="24"/>
          <w:highlight w:val="green"/>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kern w:val="0"/>
          <w:sz w:val="18"/>
          <w:szCs w:val="18"/>
        </w:rPr>
        <w:t>注：无</w:t>
      </w:r>
      <w:r>
        <w:rPr>
          <w:rFonts w:hint="eastAsia" w:ascii="宋体" w:hAnsi="宋体" w:cs="宋体"/>
          <w:kern w:val="0"/>
          <w:sz w:val="18"/>
          <w:szCs w:val="18"/>
          <w:lang w:eastAsia="zh-CN"/>
        </w:rPr>
        <w:t>“</w:t>
      </w:r>
      <w:r>
        <w:rPr>
          <w:rFonts w:hint="eastAsia" w:ascii="宋体" w:hAnsi="宋体" w:cs="宋体"/>
          <w:kern w:val="0"/>
          <w:sz w:val="18"/>
          <w:szCs w:val="18"/>
          <w:lang w:val="en-US" w:eastAsia="zh-CN"/>
        </w:rPr>
        <w:t>三公</w:t>
      </w:r>
      <w:r>
        <w:rPr>
          <w:rFonts w:hint="eastAsia" w:ascii="宋体" w:hAnsi="宋体" w:cs="宋体"/>
          <w:kern w:val="0"/>
          <w:sz w:val="18"/>
          <w:szCs w:val="18"/>
          <w:lang w:eastAsia="zh-CN"/>
        </w:rPr>
        <w:t>”</w:t>
      </w:r>
      <w:r>
        <w:rPr>
          <w:rFonts w:hint="eastAsia" w:ascii="宋体" w:hAnsi="宋体" w:cs="宋体"/>
          <w:kern w:val="0"/>
          <w:sz w:val="18"/>
          <w:szCs w:val="18"/>
          <w:lang w:val="en-US" w:eastAsia="zh-CN"/>
        </w:rPr>
        <w:t>经费</w:t>
      </w:r>
      <w:r>
        <w:rPr>
          <w:rFonts w:hint="eastAsia" w:ascii="宋体" w:hAnsi="宋体" w:cs="宋体"/>
          <w:kern w:val="0"/>
          <w:sz w:val="18"/>
          <w:szCs w:val="18"/>
        </w:rPr>
        <w:t>预算，空表列示。</w:t>
      </w:r>
    </w:p>
    <w:p>
      <w:pPr>
        <w:jc w:val="center"/>
        <w:rPr>
          <w:rFonts w:eastAsia="方正小标宋_GBK"/>
          <w:bCs/>
          <w:kern w:val="44"/>
          <w:sz w:val="44"/>
          <w:szCs w:val="44"/>
        </w:rPr>
      </w:pPr>
      <w:r>
        <w:rPr>
          <w:rFonts w:hint="eastAsia" w:eastAsia="方正小标宋_GBK"/>
          <w:bCs/>
          <w:kern w:val="44"/>
          <w:sz w:val="44"/>
          <w:szCs w:val="44"/>
          <w:lang w:val="en-US" w:eastAsia="zh-CN"/>
        </w:rPr>
        <w:t>中共承德市鹰手营子矿区委机构编制委员会办公室</w:t>
      </w:r>
      <w:r>
        <w:rPr>
          <w:rFonts w:eastAsia="方正小标宋_GBK"/>
          <w:bCs/>
          <w:kern w:val="44"/>
          <w:sz w:val="44"/>
          <w:szCs w:val="44"/>
        </w:rPr>
        <w:t>20</w:t>
      </w:r>
      <w:r>
        <w:rPr>
          <w:rFonts w:hint="eastAsia" w:eastAsia="方正小标宋_GBK"/>
          <w:bCs/>
          <w:kern w:val="44"/>
          <w:sz w:val="44"/>
          <w:szCs w:val="44"/>
          <w:lang w:val="en-US" w:eastAsia="zh-CN"/>
        </w:rPr>
        <w:t>22</w:t>
      </w:r>
      <w:r>
        <w:rPr>
          <w:rFonts w:eastAsia="方正小标宋_GBK"/>
          <w:bCs/>
          <w:kern w:val="44"/>
          <w:sz w:val="44"/>
          <w:szCs w:val="44"/>
        </w:rPr>
        <w:t>年</w:t>
      </w:r>
      <w:r>
        <w:rPr>
          <w:rFonts w:hint="eastAsia" w:eastAsia="方正小标宋_GBK"/>
          <w:bCs/>
          <w:kern w:val="44"/>
          <w:sz w:val="44"/>
          <w:szCs w:val="44"/>
          <w:lang w:val="en-US" w:eastAsia="zh-CN"/>
        </w:rPr>
        <w:t>单位</w:t>
      </w:r>
      <w:r>
        <w:rPr>
          <w:rFonts w:eastAsia="方正小标宋_GBK"/>
          <w:bCs/>
          <w:kern w:val="44"/>
          <w:sz w:val="44"/>
          <w:szCs w:val="44"/>
        </w:rPr>
        <w:t>预算信息公开</w:t>
      </w:r>
      <w:r>
        <w:rPr>
          <w:rFonts w:hint="eastAsia" w:eastAsia="方正小标宋_GBK"/>
          <w:bCs/>
          <w:kern w:val="44"/>
          <w:sz w:val="44"/>
          <w:szCs w:val="44"/>
        </w:rPr>
        <w:t>情况说明</w:t>
      </w:r>
    </w:p>
    <w:p>
      <w:pPr>
        <w:spacing w:line="500" w:lineRule="exact"/>
        <w:ind w:firstLine="560" w:firstLineChars="200"/>
        <w:jc w:val="left"/>
        <w:rPr>
          <w:rFonts w:eastAsia="方正仿宋_GBK"/>
          <w:sz w:val="28"/>
        </w:rPr>
      </w:pPr>
      <w:r>
        <w:rPr>
          <w:rFonts w:eastAsia="方正仿宋_GBK"/>
          <w:sz w:val="28"/>
        </w:rPr>
        <w:t>按照</w:t>
      </w:r>
      <w:r>
        <w:rPr>
          <w:rFonts w:hint="eastAsia" w:eastAsia="方正仿宋_GBK"/>
          <w:sz w:val="28"/>
        </w:rPr>
        <w:t>《预算法》、</w:t>
      </w:r>
      <w:r>
        <w:rPr>
          <w:rFonts w:eastAsia="方正仿宋_GBK"/>
          <w:sz w:val="28"/>
        </w:rPr>
        <w:t>《地方预决算公开操作规程》和《河北省省级预算公开办法》</w:t>
      </w:r>
      <w:r>
        <w:rPr>
          <w:rFonts w:hint="eastAsia" w:eastAsia="方正仿宋_GBK"/>
          <w:sz w:val="28"/>
        </w:rPr>
        <w:t>规定</w:t>
      </w:r>
      <w:r>
        <w:rPr>
          <w:rFonts w:eastAsia="方正仿宋_GBK"/>
          <w:sz w:val="28"/>
        </w:rPr>
        <w:t>，现将</w:t>
      </w:r>
      <w:r>
        <w:rPr>
          <w:rFonts w:hint="eastAsia" w:eastAsia="方正仿宋_GBK"/>
          <w:sz w:val="28"/>
          <w:lang w:val="en-US" w:eastAsia="zh-CN"/>
        </w:rPr>
        <w:t>中共承德市鹰手营子矿区委机构编制委员会办公室2022</w:t>
      </w:r>
      <w:r>
        <w:rPr>
          <w:rFonts w:eastAsia="方正仿宋_GBK"/>
          <w:sz w:val="28"/>
        </w:rPr>
        <w:t>年部门预算公开如下：</w:t>
      </w:r>
    </w:p>
    <w:p>
      <w:pPr>
        <w:pStyle w:val="3"/>
        <w:ind w:firstLine="640" w:firstLineChars="200"/>
        <w:jc w:val="left"/>
        <w:rPr>
          <w:rFonts w:ascii="方正黑体_GBK" w:eastAsia="方正黑体_GBK"/>
          <w:sz w:val="32"/>
        </w:rPr>
      </w:pPr>
      <w:r>
        <w:rPr>
          <w:rFonts w:hint="eastAsia" w:ascii="方正黑体_GBK" w:eastAsia="方正黑体_GBK"/>
          <w:sz w:val="32"/>
        </w:rPr>
        <w:t>一、部门职责及机构设置情况</w:t>
      </w:r>
    </w:p>
    <w:p>
      <w:pPr>
        <w:ind w:firstLine="640" w:firstLineChars="200"/>
        <w:rPr>
          <w:rFonts w:ascii="方正楷体_GBK" w:eastAsia="方正楷体_GBK"/>
          <w:b/>
          <w:sz w:val="32"/>
          <w:szCs w:val="32"/>
        </w:rPr>
      </w:pPr>
      <w:r>
        <w:rPr>
          <w:rFonts w:hint="eastAsia" w:ascii="方正楷体_GBK" w:eastAsia="方正楷体_GBK"/>
          <w:b/>
          <w:sz w:val="32"/>
          <w:szCs w:val="32"/>
        </w:rPr>
        <w:t xml:space="preserve">部门职责： </w:t>
      </w:r>
    </w:p>
    <w:p>
      <w:pPr>
        <w:spacing w:line="500" w:lineRule="exact"/>
        <w:ind w:firstLine="560" w:firstLineChars="200"/>
        <w:jc w:val="left"/>
        <w:rPr>
          <w:rFonts w:eastAsia="方正仿宋_GBK"/>
          <w:sz w:val="28"/>
        </w:rPr>
      </w:pPr>
      <w:r>
        <w:rPr>
          <w:rFonts w:hint="eastAsia" w:eastAsia="方正仿宋_GBK"/>
          <w:sz w:val="28"/>
          <w:lang w:val="en-US" w:eastAsia="zh-CN"/>
        </w:rPr>
        <w:t>1.</w:t>
      </w:r>
      <w:r>
        <w:rPr>
          <w:rFonts w:hint="eastAsia" w:eastAsia="方正仿宋_GBK"/>
          <w:sz w:val="28"/>
        </w:rPr>
        <w:t>贯彻落实党中央和省委、市委、区委关于行政管理体制和机构改革以及机构编制管理的政策法规,组织拟订相关政策规定并监督实施。管理和指导各级党委、人大、政府、政协、监察委机关,各民主党派、人民团体机关以及全区事业单位的机构编制工作。</w:t>
      </w:r>
    </w:p>
    <w:p>
      <w:pPr>
        <w:spacing w:line="500" w:lineRule="exact"/>
        <w:ind w:firstLine="560" w:firstLineChars="200"/>
        <w:jc w:val="left"/>
        <w:rPr>
          <w:rFonts w:eastAsia="方正仿宋_GBK"/>
          <w:sz w:val="28"/>
        </w:rPr>
      </w:pPr>
      <w:r>
        <w:rPr>
          <w:rFonts w:hint="eastAsia" w:eastAsia="方正仿宋_GBK"/>
          <w:sz w:val="28"/>
          <w:lang w:val="en-US" w:eastAsia="zh-CN"/>
        </w:rPr>
        <w:t>2.</w:t>
      </w:r>
      <w:r>
        <w:rPr>
          <w:rFonts w:hint="eastAsia" w:eastAsia="方正仿宋_GBK"/>
          <w:sz w:val="28"/>
        </w:rPr>
        <w:t>组织拟订全区行政管理体制改革和区委、区政府机构改革方案并组织实施。负责行政执法体制改革工作。</w:t>
      </w:r>
    </w:p>
    <w:p>
      <w:pPr>
        <w:spacing w:line="500" w:lineRule="exact"/>
        <w:ind w:firstLine="560" w:firstLineChars="200"/>
        <w:jc w:val="left"/>
        <w:rPr>
          <w:rFonts w:hint="eastAsia" w:eastAsia="方正仿宋_GBK"/>
          <w:sz w:val="28"/>
        </w:rPr>
      </w:pPr>
      <w:r>
        <w:rPr>
          <w:rFonts w:hint="eastAsia" w:eastAsia="方正仿宋_GBK"/>
          <w:sz w:val="28"/>
          <w:lang w:val="en-US" w:eastAsia="zh-CN"/>
        </w:rPr>
        <w:t>3.</w:t>
      </w:r>
      <w:r>
        <w:rPr>
          <w:rFonts w:hint="eastAsia" w:eastAsia="方正仿宋_GBK"/>
          <w:sz w:val="28"/>
        </w:rPr>
        <w:t>协调区委、区政府各部门的职能配置及其调整。协调区委、区政府部门之间以及区直部门与各镇之间的职责分工。</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4.</w:t>
      </w:r>
      <w:r>
        <w:rPr>
          <w:rFonts w:hint="eastAsia" w:eastAsia="方正仿宋_GBK"/>
          <w:sz w:val="28"/>
        </w:rPr>
        <w:t>审核或审批区委、区政府各部门及各部门派出机构的职能配置、机构设置、人员编制和领导职数;审核区人大、区政协、区监察委和区级各民主党派、人民团体机关的职能配置、机构设置、人员编制和领导职数。</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5.</w:t>
      </w:r>
      <w:r>
        <w:rPr>
          <w:rFonts w:hint="eastAsia" w:eastAsia="方正仿宋_GBK"/>
          <w:sz w:val="28"/>
        </w:rPr>
        <w:t>负责需要承办的中央和国家机关、省委和省政府、市委和市政府垂直管理部门或双重管理部门(单位)机构编制有关事宜。</w:t>
      </w:r>
    </w:p>
    <w:p>
      <w:pPr>
        <w:autoSpaceDE w:val="0"/>
        <w:autoSpaceDN w:val="0"/>
        <w:adjustRightInd w:val="0"/>
        <w:ind w:firstLine="560" w:firstLineChars="200"/>
        <w:jc w:val="left"/>
        <w:rPr>
          <w:rFonts w:hint="eastAsia" w:eastAsia="方正仿宋_GBK"/>
          <w:sz w:val="28"/>
        </w:rPr>
      </w:pPr>
      <w:r>
        <w:rPr>
          <w:rFonts w:hint="eastAsia" w:eastAsia="方正仿宋_GBK"/>
          <w:sz w:val="28"/>
          <w:lang w:val="en-US" w:eastAsia="zh-CN"/>
        </w:rPr>
        <w:t>6</w:t>
      </w:r>
      <w:r>
        <w:rPr>
          <w:rFonts w:hint="eastAsia" w:eastAsia="方正仿宋_GBK"/>
          <w:sz w:val="28"/>
        </w:rPr>
        <w:t>.组织拟订全区事业单位管理体制和机构改革方案。负责落实各类事业单位人员编制标准和管理办法，负责推进事业单位机构编制标准体系建设；审核或审批全区事业单位的机构编制事宜；负责全区党政群机关统一社会信用代码赋码管理工作，负责全区事业单位法人登记管理和监督检查工作。</w:t>
      </w:r>
    </w:p>
    <w:p>
      <w:pPr>
        <w:autoSpaceDE w:val="0"/>
        <w:autoSpaceDN w:val="0"/>
        <w:adjustRightInd w:val="0"/>
        <w:ind w:firstLine="560" w:firstLineChars="200"/>
        <w:jc w:val="left"/>
        <w:rPr>
          <w:rFonts w:hint="eastAsia" w:eastAsia="方正仿宋_GBK"/>
          <w:sz w:val="28"/>
        </w:rPr>
      </w:pPr>
      <w:r>
        <w:rPr>
          <w:rFonts w:hint="eastAsia" w:eastAsia="方正仿宋_GBK"/>
          <w:sz w:val="28"/>
        </w:rPr>
        <w:t>7.指导全区开发区(园区)行政管理体制改革工作。组织落实区级以上开发区(园区)机构编制管理办法,审核区级以上开发区(园区)职能配置、机构设置、人员编制和领导职数。</w:t>
      </w:r>
    </w:p>
    <w:p>
      <w:pPr>
        <w:autoSpaceDE w:val="0"/>
        <w:autoSpaceDN w:val="0"/>
        <w:adjustRightInd w:val="0"/>
        <w:ind w:firstLine="560" w:firstLineChars="200"/>
        <w:jc w:val="left"/>
        <w:rPr>
          <w:rFonts w:hint="eastAsia" w:eastAsia="方正仿宋_GBK"/>
          <w:sz w:val="28"/>
        </w:rPr>
      </w:pPr>
      <w:r>
        <w:rPr>
          <w:rFonts w:hint="eastAsia" w:eastAsia="方正仿宋_GBK"/>
          <w:sz w:val="28"/>
        </w:rPr>
        <w:t>8.负责全区机构编制的总量控制和动态管理。负责机构编制实名制工作;负责全区机关事业单位编制使用核准。</w:t>
      </w:r>
    </w:p>
    <w:p>
      <w:pPr>
        <w:autoSpaceDE w:val="0"/>
        <w:autoSpaceDN w:val="0"/>
        <w:adjustRightInd w:val="0"/>
        <w:ind w:firstLine="560" w:firstLineChars="200"/>
        <w:jc w:val="left"/>
        <w:rPr>
          <w:rFonts w:hint="eastAsia" w:eastAsia="方正仿宋_GBK"/>
          <w:sz w:val="28"/>
        </w:rPr>
      </w:pPr>
      <w:r>
        <w:rPr>
          <w:rFonts w:hint="eastAsia" w:eastAsia="方正仿宋_GBK"/>
          <w:sz w:val="28"/>
        </w:rPr>
        <w:t>9.负责对全区行政、事业单位管理体制和机构改革及机构编制执行情况的跟踪评估和监督检查。负责受理违反机构编制法规、纪律的检举、控告和投诉,对违反机构编制法规、纪律问题进行调查处理。</w:t>
      </w:r>
    </w:p>
    <w:p>
      <w:pPr>
        <w:autoSpaceDE w:val="0"/>
        <w:autoSpaceDN w:val="0"/>
        <w:adjustRightInd w:val="0"/>
        <w:ind w:firstLine="560" w:firstLineChars="200"/>
        <w:jc w:val="left"/>
        <w:rPr>
          <w:rFonts w:hint="eastAsia" w:eastAsia="方正仿宋_GBK"/>
          <w:sz w:val="28"/>
        </w:rPr>
      </w:pPr>
      <w:r>
        <w:rPr>
          <w:rFonts w:hint="eastAsia" w:eastAsia="方正仿宋_GBK"/>
          <w:sz w:val="28"/>
        </w:rPr>
        <w:t>10.负责全区机构编制电子政务和信息化工作。负责全区机构编制统计工作；负责机构编制网站的建设管理以及网络安全工作；指导全区党政群机关、事业单位和其他非营利性单位网上名称管理工作。</w:t>
      </w:r>
    </w:p>
    <w:p>
      <w:pPr>
        <w:autoSpaceDE w:val="0"/>
        <w:autoSpaceDN w:val="0"/>
        <w:adjustRightInd w:val="0"/>
        <w:ind w:firstLine="560" w:firstLineChars="200"/>
        <w:jc w:val="left"/>
        <w:rPr>
          <w:rFonts w:hint="eastAsia" w:eastAsia="方正仿宋_GBK"/>
          <w:sz w:val="28"/>
        </w:rPr>
      </w:pPr>
      <w:r>
        <w:rPr>
          <w:rFonts w:hint="eastAsia" w:eastAsia="方正仿宋_GBK"/>
          <w:sz w:val="28"/>
        </w:rPr>
        <w:t>11.组织开展行政体制改革及机构编制管理创新基础性和前瞻性研究。</w:t>
      </w:r>
    </w:p>
    <w:p>
      <w:pPr>
        <w:autoSpaceDE w:val="0"/>
        <w:autoSpaceDN w:val="0"/>
        <w:adjustRightInd w:val="0"/>
        <w:ind w:firstLine="560" w:firstLineChars="200"/>
        <w:jc w:val="left"/>
        <w:rPr>
          <w:rFonts w:hint="eastAsia" w:eastAsia="方正仿宋_GBK"/>
          <w:sz w:val="28"/>
        </w:rPr>
      </w:pPr>
      <w:r>
        <w:rPr>
          <w:rFonts w:hint="eastAsia" w:eastAsia="方正仿宋_GBK"/>
          <w:sz w:val="28"/>
        </w:rPr>
        <w:t>12.完成区委、区政府和区委机构编制委员会交办的其他任务。</w:t>
      </w:r>
    </w:p>
    <w:p>
      <w:pPr>
        <w:autoSpaceDE w:val="0"/>
        <w:autoSpaceDN w:val="0"/>
        <w:adjustRightInd w:val="0"/>
        <w:ind w:firstLine="640" w:firstLineChars="200"/>
        <w:jc w:val="left"/>
        <w:rPr>
          <w:rFonts w:ascii="方正仿宋_GBK" w:eastAsia="方正仿宋_GBK"/>
          <w:b/>
          <w:sz w:val="32"/>
          <w:szCs w:val="32"/>
        </w:rPr>
      </w:pPr>
    </w:p>
    <w:p>
      <w:pPr>
        <w:autoSpaceDE w:val="0"/>
        <w:autoSpaceDN w:val="0"/>
        <w:adjustRightInd w:val="0"/>
        <w:ind w:firstLine="640" w:firstLineChars="200"/>
        <w:jc w:val="left"/>
        <w:rPr>
          <w:rFonts w:ascii="方正楷体_GBK" w:eastAsia="方正楷体_GBK"/>
          <w:b/>
          <w:sz w:val="32"/>
          <w:szCs w:val="32"/>
        </w:rPr>
      </w:pPr>
      <w:r>
        <w:rPr>
          <w:rFonts w:hint="eastAsia" w:ascii="方正楷体_GBK" w:eastAsia="方正楷体_GBK"/>
          <w:b/>
          <w:sz w:val="32"/>
          <w:szCs w:val="32"/>
        </w:rPr>
        <w:t xml:space="preserve">机构设置： </w:t>
      </w:r>
    </w:p>
    <w:p>
      <w:pPr>
        <w:jc w:val="center"/>
        <w:rPr>
          <w:rFonts w:ascii="方正小标宋_GBK" w:eastAsia="方正小标宋_GBK"/>
          <w:sz w:val="32"/>
          <w:szCs w:val="32"/>
        </w:rPr>
      </w:pPr>
      <w:r>
        <w:rPr>
          <w:rFonts w:hint="eastAsia" w:ascii="方正小标宋_GBK" w:eastAsia="方正小标宋_GBK"/>
          <w:sz w:val="32"/>
          <w:szCs w:val="32"/>
        </w:rPr>
        <w:t>部门机构设置情况</w:t>
      </w:r>
    </w:p>
    <w:tbl>
      <w:tblPr>
        <w:tblStyle w:val="11"/>
        <w:tblW w:w="136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0"/>
        <w:gridCol w:w="1849"/>
        <w:gridCol w:w="2091"/>
        <w:gridCol w:w="4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670"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单位名称</w:t>
            </w:r>
          </w:p>
        </w:tc>
        <w:tc>
          <w:tcPr>
            <w:tcW w:w="1849"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单位性质</w:t>
            </w:r>
          </w:p>
        </w:tc>
        <w:tc>
          <w:tcPr>
            <w:tcW w:w="2091"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单位规格</w:t>
            </w:r>
          </w:p>
        </w:tc>
        <w:tc>
          <w:tcPr>
            <w:tcW w:w="4005" w:type="dxa"/>
            <w:vMerge w:val="restart"/>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670" w:type="dxa"/>
            <w:vMerge w:val="continue"/>
            <w:shd w:val="clear" w:color="auto" w:fill="auto"/>
            <w:vAlign w:val="center"/>
          </w:tcPr>
          <w:p>
            <w:pPr>
              <w:spacing w:line="300" w:lineRule="exact"/>
              <w:jc w:val="left"/>
              <w:outlineLvl w:val="0"/>
              <w:rPr>
                <w:sz w:val="24"/>
              </w:rPr>
            </w:pPr>
          </w:p>
        </w:tc>
        <w:tc>
          <w:tcPr>
            <w:tcW w:w="1849" w:type="dxa"/>
            <w:vMerge w:val="continue"/>
            <w:shd w:val="clear" w:color="auto" w:fill="auto"/>
            <w:vAlign w:val="center"/>
          </w:tcPr>
          <w:p>
            <w:pPr>
              <w:spacing w:line="300" w:lineRule="exact"/>
              <w:jc w:val="left"/>
              <w:outlineLvl w:val="0"/>
              <w:rPr>
                <w:sz w:val="24"/>
              </w:rPr>
            </w:pPr>
          </w:p>
        </w:tc>
        <w:tc>
          <w:tcPr>
            <w:tcW w:w="2091" w:type="dxa"/>
            <w:vMerge w:val="continue"/>
            <w:shd w:val="clear" w:color="auto" w:fill="auto"/>
            <w:vAlign w:val="center"/>
          </w:tcPr>
          <w:p>
            <w:pPr>
              <w:spacing w:line="300" w:lineRule="exact"/>
              <w:jc w:val="left"/>
              <w:outlineLvl w:val="0"/>
              <w:rPr>
                <w:sz w:val="24"/>
              </w:rPr>
            </w:pPr>
          </w:p>
        </w:tc>
        <w:tc>
          <w:tcPr>
            <w:tcW w:w="4005" w:type="dxa"/>
            <w:vMerge w:val="continue"/>
            <w:shd w:val="clear" w:color="auto" w:fill="auto"/>
            <w:vAlign w:val="center"/>
          </w:tcPr>
          <w:p>
            <w:pPr>
              <w:spacing w:line="300" w:lineRule="exact"/>
              <w:jc w:val="left"/>
              <w:outlineLvl w:val="0"/>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670" w:type="dxa"/>
            <w:shd w:val="clear" w:color="auto" w:fill="auto"/>
            <w:vAlign w:val="center"/>
          </w:tcPr>
          <w:p>
            <w:pPr>
              <w:spacing w:line="300" w:lineRule="exact"/>
              <w:jc w:val="left"/>
              <w:rPr>
                <w:rFonts w:hint="eastAsia" w:ascii="方正书宋_GBK" w:eastAsia="方正书宋_GBK"/>
                <w:szCs w:val="21"/>
                <w:lang w:eastAsia="zh-CN"/>
              </w:rPr>
            </w:pPr>
            <w:r>
              <w:rPr>
                <w:rFonts w:hint="eastAsia" w:ascii="方正书宋_GBK" w:eastAsia="方正书宋_GBK"/>
                <w:szCs w:val="21"/>
                <w:lang w:val="en-US" w:eastAsia="zh-CN"/>
              </w:rPr>
              <w:t>中共承德市鹰手营子矿区委机构编制委员会办公室</w:t>
            </w:r>
          </w:p>
        </w:tc>
        <w:tc>
          <w:tcPr>
            <w:tcW w:w="184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行政</w:t>
            </w:r>
          </w:p>
        </w:tc>
        <w:tc>
          <w:tcPr>
            <w:tcW w:w="209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正科</w:t>
            </w:r>
            <w:r>
              <w:rPr>
                <w:rFonts w:hint="eastAsia" w:ascii="方正书宋_GBK" w:eastAsia="方正书宋_GBK"/>
                <w:szCs w:val="21"/>
              </w:rPr>
              <w:t>级</w:t>
            </w:r>
          </w:p>
        </w:tc>
        <w:tc>
          <w:tcPr>
            <w:tcW w:w="400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670"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承德市鹰手营子矿区机构编制电子政务中心</w:t>
            </w:r>
          </w:p>
        </w:tc>
        <w:tc>
          <w:tcPr>
            <w:tcW w:w="1849"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事业</w:t>
            </w:r>
          </w:p>
        </w:tc>
        <w:tc>
          <w:tcPr>
            <w:tcW w:w="209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股</w:t>
            </w:r>
            <w:r>
              <w:rPr>
                <w:rFonts w:hint="eastAsia" w:ascii="方正书宋_GBK" w:eastAsia="方正书宋_GBK"/>
                <w:szCs w:val="21"/>
              </w:rPr>
              <w:t>级</w:t>
            </w:r>
          </w:p>
        </w:tc>
        <w:tc>
          <w:tcPr>
            <w:tcW w:w="4005"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财政性资金基本保证</w:t>
            </w:r>
          </w:p>
        </w:tc>
      </w:tr>
    </w:tbl>
    <w:p>
      <w:pPr>
        <w:ind w:firstLine="640" w:firstLineChars="200"/>
        <w:rPr>
          <w:rFonts w:ascii="黑体" w:hAnsi="黑体" w:eastAsia="黑体"/>
          <w:sz w:val="32"/>
          <w:szCs w:val="32"/>
          <w:highlight w:val="yellow"/>
        </w:rPr>
      </w:pPr>
    </w:p>
    <w:p>
      <w:pPr>
        <w:pStyle w:val="3"/>
        <w:ind w:firstLine="640" w:firstLineChars="200"/>
        <w:jc w:val="left"/>
        <w:rPr>
          <w:rFonts w:ascii="黑体" w:hAnsi="黑体" w:eastAsia="黑体"/>
          <w:sz w:val="32"/>
        </w:rPr>
      </w:pPr>
      <w:r>
        <w:rPr>
          <w:rFonts w:hint="eastAsia" w:ascii="方正黑体_GBK" w:eastAsia="方正黑体_GBK"/>
          <w:sz w:val="32"/>
        </w:rPr>
        <w:t>二、部门预算安排的总体情况</w:t>
      </w:r>
    </w:p>
    <w:p>
      <w:pPr>
        <w:spacing w:line="500" w:lineRule="exact"/>
        <w:ind w:firstLine="560" w:firstLineChars="200"/>
        <w:jc w:val="left"/>
        <w:rPr>
          <w:rFonts w:hint="eastAsia" w:eastAsia="方正仿宋_GBK"/>
          <w:sz w:val="28"/>
        </w:rPr>
      </w:pPr>
      <w:r>
        <w:rPr>
          <w:rFonts w:eastAsia="方正仿宋_GBK"/>
          <w:sz w:val="28"/>
        </w:rPr>
        <w:t>按照预算管理有关规定，目前我省部门预算的编制实行综合预算</w:t>
      </w:r>
      <w:r>
        <w:rPr>
          <w:rFonts w:hint="eastAsia" w:eastAsia="方正仿宋_GBK"/>
          <w:sz w:val="28"/>
        </w:rPr>
        <w:t>管理</w:t>
      </w:r>
      <w:r>
        <w:rPr>
          <w:rFonts w:eastAsia="方正仿宋_GBK"/>
          <w:sz w:val="28"/>
        </w:rPr>
        <w:t>，即全部收入和支出都反映</w:t>
      </w:r>
      <w:r>
        <w:rPr>
          <w:rFonts w:hint="eastAsia" w:eastAsia="方正仿宋_GBK"/>
          <w:sz w:val="28"/>
        </w:rPr>
        <w:t>在</w:t>
      </w:r>
      <w:r>
        <w:rPr>
          <w:rFonts w:eastAsia="方正仿宋_GBK"/>
          <w:sz w:val="28"/>
        </w:rPr>
        <w:t>预算中。</w:t>
      </w:r>
      <w:r>
        <w:rPr>
          <w:rFonts w:hint="eastAsia" w:eastAsia="方正仿宋_GBK"/>
          <w:sz w:val="28"/>
          <w:lang w:val="en-US" w:eastAsia="zh-CN"/>
        </w:rPr>
        <w:t>中共承德市鹰手营子矿区委机构编制委员会办公室</w:t>
      </w:r>
      <w:r>
        <w:rPr>
          <w:rFonts w:hint="eastAsia" w:eastAsia="方正仿宋_GBK"/>
          <w:sz w:val="28"/>
        </w:rPr>
        <w:t>及所属事业单位的收支包含在部门预算中。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w:t>
      </w:r>
      <w:r>
        <w:rPr>
          <w:rFonts w:hint="eastAsia" w:eastAsia="方正仿宋_GBK"/>
          <w:sz w:val="28"/>
          <w:lang w:val="en-US" w:eastAsia="zh-CN"/>
        </w:rPr>
        <w:t>中共承德市鹰手营子矿区委机构编制委员会办公室</w:t>
      </w:r>
      <w:r>
        <w:rPr>
          <w:rFonts w:eastAsia="方正仿宋_GBK"/>
          <w:sz w:val="28"/>
        </w:rPr>
        <w:t>当年全部收入。20</w:t>
      </w:r>
      <w:r>
        <w:rPr>
          <w:rFonts w:hint="eastAsia" w:eastAsia="方正仿宋_GBK"/>
          <w:sz w:val="28"/>
        </w:rPr>
        <w:t>2</w:t>
      </w:r>
      <w:r>
        <w:rPr>
          <w:rFonts w:hint="eastAsia" w:eastAsia="方正仿宋_GBK"/>
          <w:sz w:val="28"/>
          <w:lang w:val="en-US" w:eastAsia="zh-CN"/>
        </w:rPr>
        <w:t>2</w:t>
      </w:r>
      <w:r>
        <w:rPr>
          <w:rFonts w:eastAsia="方正仿宋_GBK"/>
          <w:sz w:val="28"/>
        </w:rPr>
        <w:t>年预算收入</w:t>
      </w:r>
      <w:r>
        <w:rPr>
          <w:rFonts w:hint="eastAsia" w:eastAsia="方正仿宋_GBK"/>
          <w:sz w:val="28"/>
          <w:lang w:val="en-US" w:eastAsia="zh-CN"/>
        </w:rPr>
        <w:t>60.20</w:t>
      </w:r>
      <w:r>
        <w:rPr>
          <w:rFonts w:eastAsia="方正仿宋_GBK"/>
          <w:sz w:val="28"/>
        </w:rPr>
        <w:t>万元，其中：一般公共预算收入</w:t>
      </w:r>
      <w:r>
        <w:rPr>
          <w:rFonts w:hint="eastAsia" w:eastAsia="方正仿宋_GBK"/>
          <w:sz w:val="28"/>
          <w:lang w:val="en-US" w:eastAsia="zh-CN"/>
        </w:rPr>
        <w:t>60.20</w:t>
      </w:r>
      <w:r>
        <w:rPr>
          <w:rFonts w:eastAsia="方正仿宋_GBK"/>
          <w:sz w:val="28"/>
        </w:rPr>
        <w:t>万元，</w:t>
      </w:r>
      <w:r>
        <w:rPr>
          <w:rFonts w:hint="eastAsia" w:eastAsia="方正仿宋_GBK"/>
          <w:sz w:val="28"/>
        </w:rPr>
        <w:t>基金预算</w:t>
      </w:r>
      <w:r>
        <w:rPr>
          <w:rFonts w:eastAsia="方正仿宋_GBK"/>
          <w:sz w:val="28"/>
        </w:rPr>
        <w:t>收入</w:t>
      </w:r>
      <w:r>
        <w:rPr>
          <w:rFonts w:hint="eastAsia" w:eastAsia="方正仿宋_GBK"/>
          <w:sz w:val="28"/>
          <w:lang w:val="en-US" w:eastAsia="zh-CN"/>
        </w:rPr>
        <w:t>0</w:t>
      </w:r>
      <w:r>
        <w:rPr>
          <w:rFonts w:eastAsia="方正仿宋_GBK"/>
          <w:sz w:val="28"/>
        </w:rPr>
        <w:t>万元，</w:t>
      </w:r>
      <w:r>
        <w:rPr>
          <w:rFonts w:hint="eastAsia" w:eastAsia="方正仿宋_GBK"/>
          <w:sz w:val="28"/>
        </w:rPr>
        <w:t>财政专户核拨收入</w:t>
      </w:r>
      <w:r>
        <w:rPr>
          <w:rFonts w:hint="eastAsia" w:eastAsia="方正仿宋_GBK"/>
          <w:sz w:val="28"/>
          <w:lang w:val="en-US" w:eastAsia="zh-CN"/>
        </w:rPr>
        <w:t>0</w:t>
      </w:r>
      <w:r>
        <w:rPr>
          <w:rFonts w:eastAsia="方正仿宋_GBK"/>
          <w:sz w:val="28"/>
        </w:rPr>
        <w:t>万元</w:t>
      </w:r>
      <w:r>
        <w:rPr>
          <w:rFonts w:hint="eastAsia" w:eastAsia="方正仿宋_GBK"/>
          <w:sz w:val="28"/>
        </w:rPr>
        <w:t>，其他来源收入</w:t>
      </w:r>
      <w:r>
        <w:rPr>
          <w:rFonts w:hint="eastAsia" w:eastAsia="方正仿宋_GBK"/>
          <w:sz w:val="28"/>
          <w:lang w:val="en-US" w:eastAsia="zh-CN"/>
        </w:rPr>
        <w:t>0</w:t>
      </w:r>
      <w:r>
        <w:rPr>
          <w:rFonts w:hint="eastAsia" w:eastAsia="方正仿宋_GBK"/>
          <w:sz w:val="28"/>
        </w:rPr>
        <w:t>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hint="eastAsia" w:eastAsia="方正仿宋_GBK"/>
          <w:sz w:val="28"/>
        </w:rPr>
      </w:pPr>
      <w:r>
        <w:rPr>
          <w:rFonts w:eastAsia="方正仿宋_GBK"/>
          <w:sz w:val="28"/>
        </w:rPr>
        <w:t>收支预算总表支出栏、基本支出表、项目支出表按经济分类和支出功能分类科目编制，反映</w:t>
      </w:r>
      <w:r>
        <w:rPr>
          <w:rFonts w:hint="eastAsia" w:eastAsia="方正仿宋_GBK"/>
          <w:sz w:val="28"/>
          <w:lang w:val="en-US" w:eastAsia="zh-CN"/>
        </w:rPr>
        <w:t>中共承德市鹰手营子矿区委机构编制委员会办公室</w:t>
      </w:r>
      <w:r>
        <w:rPr>
          <w:rFonts w:eastAsia="方正仿宋_GBK"/>
          <w:sz w:val="28"/>
        </w:rPr>
        <w:t>年度部门预算中支出预算的总体情况。20</w:t>
      </w:r>
      <w:r>
        <w:rPr>
          <w:rFonts w:hint="eastAsia" w:eastAsia="方正仿宋_GBK"/>
          <w:sz w:val="28"/>
        </w:rPr>
        <w:t>2</w:t>
      </w:r>
      <w:r>
        <w:rPr>
          <w:rFonts w:hint="eastAsia" w:eastAsia="方正仿宋_GBK"/>
          <w:sz w:val="28"/>
          <w:lang w:val="en-US" w:eastAsia="zh-CN"/>
        </w:rPr>
        <w:t>2</w:t>
      </w:r>
      <w:r>
        <w:rPr>
          <w:rFonts w:eastAsia="方正仿宋_GBK"/>
          <w:sz w:val="28"/>
        </w:rPr>
        <w:t>年支出预算</w:t>
      </w:r>
      <w:r>
        <w:rPr>
          <w:rFonts w:hint="eastAsia" w:eastAsia="方正仿宋_GBK"/>
          <w:sz w:val="28"/>
          <w:lang w:val="en-US" w:eastAsia="zh-CN"/>
        </w:rPr>
        <w:t>60.20</w:t>
      </w:r>
      <w:r>
        <w:rPr>
          <w:rFonts w:eastAsia="方正仿宋_GBK"/>
          <w:sz w:val="28"/>
        </w:rPr>
        <w:t>万元，其中基本支出</w:t>
      </w:r>
      <w:r>
        <w:rPr>
          <w:rFonts w:hint="eastAsia" w:eastAsia="方正仿宋_GBK"/>
          <w:sz w:val="28"/>
          <w:lang w:val="en-US" w:eastAsia="zh-CN"/>
        </w:rPr>
        <w:t>54.28</w:t>
      </w:r>
      <w:r>
        <w:rPr>
          <w:rFonts w:eastAsia="方正仿宋_GBK"/>
          <w:sz w:val="28"/>
        </w:rPr>
        <w:t>万元，包括人员经费</w:t>
      </w:r>
      <w:r>
        <w:rPr>
          <w:rFonts w:hint="eastAsia" w:eastAsia="方正仿宋_GBK"/>
          <w:sz w:val="28"/>
          <w:lang w:val="en-US" w:eastAsia="zh-CN"/>
        </w:rPr>
        <w:t>47.70</w:t>
      </w:r>
      <w:r>
        <w:rPr>
          <w:rFonts w:hint="eastAsia" w:eastAsia="方正仿宋_GBK"/>
          <w:sz w:val="28"/>
        </w:rPr>
        <w:t>万元</w:t>
      </w:r>
      <w:r>
        <w:rPr>
          <w:rFonts w:eastAsia="方正仿宋_GBK"/>
          <w:sz w:val="28"/>
        </w:rPr>
        <w:t>和日常公用经费</w:t>
      </w:r>
      <w:r>
        <w:rPr>
          <w:rFonts w:hint="eastAsia" w:eastAsia="方正仿宋_GBK"/>
          <w:sz w:val="28"/>
          <w:lang w:val="en-US" w:eastAsia="zh-CN"/>
        </w:rPr>
        <w:t>6.58</w:t>
      </w:r>
      <w:r>
        <w:rPr>
          <w:rFonts w:hint="eastAsia" w:eastAsia="方正仿宋_GBK"/>
          <w:sz w:val="28"/>
        </w:rPr>
        <w:t>万元</w:t>
      </w:r>
      <w:r>
        <w:rPr>
          <w:rFonts w:eastAsia="方正仿宋_GBK"/>
          <w:sz w:val="28"/>
        </w:rPr>
        <w:t>；项目支出</w:t>
      </w:r>
      <w:r>
        <w:rPr>
          <w:rFonts w:hint="eastAsia" w:eastAsia="方正仿宋_GBK"/>
          <w:sz w:val="28"/>
          <w:lang w:val="en-US" w:eastAsia="zh-CN"/>
        </w:rPr>
        <w:t>5.92</w:t>
      </w:r>
      <w:r>
        <w:rPr>
          <w:rFonts w:eastAsia="方正仿宋_GBK"/>
          <w:sz w:val="28"/>
        </w:rPr>
        <w:t>万元，</w:t>
      </w:r>
      <w:r>
        <w:rPr>
          <w:rFonts w:hint="eastAsia" w:eastAsia="方正仿宋_GBK"/>
          <w:sz w:val="28"/>
          <w:lang w:val="en-US" w:eastAsia="zh-CN"/>
        </w:rPr>
        <w:t>全部</w:t>
      </w:r>
      <w:r>
        <w:rPr>
          <w:rFonts w:eastAsia="方正仿宋_GBK"/>
          <w:sz w:val="28"/>
        </w:rPr>
        <w:t>为</w:t>
      </w:r>
      <w:r>
        <w:rPr>
          <w:rFonts w:hint="eastAsia" w:eastAsia="方正仿宋_GBK"/>
          <w:sz w:val="28"/>
          <w:lang w:val="en-US" w:eastAsia="zh-CN"/>
        </w:rPr>
        <w:t>一般公共服务支出</w:t>
      </w:r>
      <w:r>
        <w:rPr>
          <w:rFonts w:hint="eastAsia" w:eastAsia="方正仿宋_GBK"/>
          <w:sz w:val="28"/>
        </w:rPr>
        <w:t>；</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hint="eastAsia"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年预算收支安排</w:t>
      </w:r>
      <w:r>
        <w:rPr>
          <w:rFonts w:hint="eastAsia" w:eastAsia="方正仿宋_GBK"/>
          <w:sz w:val="28"/>
          <w:lang w:val="en-US" w:eastAsia="zh-CN"/>
        </w:rPr>
        <w:t>60.20</w:t>
      </w:r>
      <w:r>
        <w:rPr>
          <w:rFonts w:eastAsia="方正仿宋_GBK"/>
          <w:sz w:val="28"/>
        </w:rPr>
        <w:t>万元，较202</w:t>
      </w:r>
      <w:r>
        <w:rPr>
          <w:rFonts w:hint="eastAsia" w:eastAsia="方正仿宋_GBK"/>
          <w:sz w:val="28"/>
          <w:lang w:val="en-US" w:eastAsia="zh-CN"/>
        </w:rPr>
        <w:t>1</w:t>
      </w:r>
      <w:r>
        <w:rPr>
          <w:rFonts w:eastAsia="方正仿宋_GBK"/>
          <w:sz w:val="28"/>
        </w:rPr>
        <w:t>年预算</w:t>
      </w:r>
      <w:r>
        <w:rPr>
          <w:rFonts w:hint="eastAsia" w:eastAsia="方正仿宋_GBK"/>
          <w:sz w:val="28"/>
          <w:lang w:val="en-US" w:eastAsia="zh-CN"/>
        </w:rPr>
        <w:t>增加0.87</w:t>
      </w:r>
      <w:r>
        <w:rPr>
          <w:rFonts w:eastAsia="方正仿宋_GBK"/>
          <w:sz w:val="28"/>
        </w:rPr>
        <w:t>万元，其中：基本支出</w:t>
      </w:r>
      <w:r>
        <w:rPr>
          <w:rFonts w:hint="eastAsia" w:eastAsia="方正仿宋_GBK"/>
          <w:sz w:val="28"/>
        </w:rPr>
        <w:t>减少</w:t>
      </w:r>
      <w:r>
        <w:rPr>
          <w:rFonts w:hint="eastAsia" w:eastAsia="方正仿宋_GBK"/>
          <w:sz w:val="28"/>
          <w:lang w:val="en-US" w:eastAsia="zh-CN"/>
        </w:rPr>
        <w:t>0.21</w:t>
      </w:r>
      <w:r>
        <w:rPr>
          <w:rFonts w:eastAsia="方正仿宋_GBK"/>
          <w:sz w:val="28"/>
        </w:rPr>
        <w:t>万元，主要为</w:t>
      </w:r>
      <w:r>
        <w:rPr>
          <w:rFonts w:hint="eastAsia" w:eastAsia="方正仿宋_GBK"/>
          <w:sz w:val="28"/>
        </w:rPr>
        <w:t>增加</w:t>
      </w:r>
      <w:r>
        <w:rPr>
          <w:rFonts w:hint="eastAsia" w:eastAsia="方正仿宋_GBK"/>
          <w:sz w:val="28"/>
          <w:lang w:val="en-US" w:eastAsia="zh-CN"/>
        </w:rPr>
        <w:t>减少</w:t>
      </w:r>
      <w:r>
        <w:rPr>
          <w:rFonts w:eastAsia="方正仿宋_GBK"/>
          <w:sz w:val="28"/>
        </w:rPr>
        <w:t>人员经费支出；项目支出</w:t>
      </w:r>
      <w:r>
        <w:rPr>
          <w:rFonts w:hint="eastAsia" w:eastAsia="方正仿宋_GBK"/>
          <w:sz w:val="28"/>
        </w:rPr>
        <w:t>增加</w:t>
      </w:r>
      <w:r>
        <w:rPr>
          <w:rFonts w:hint="eastAsia" w:eastAsia="方正仿宋_GBK"/>
          <w:sz w:val="28"/>
          <w:lang w:val="en-US" w:eastAsia="zh-CN"/>
        </w:rPr>
        <w:t>1.08</w:t>
      </w:r>
      <w:r>
        <w:rPr>
          <w:rFonts w:eastAsia="方正仿宋_GBK"/>
          <w:sz w:val="28"/>
        </w:rPr>
        <w:t>万元，主要为</w:t>
      </w:r>
      <w:r>
        <w:rPr>
          <w:rFonts w:hint="eastAsia" w:eastAsia="方正仿宋_GBK"/>
          <w:sz w:val="28"/>
        </w:rPr>
        <w:t>202</w:t>
      </w:r>
      <w:r>
        <w:rPr>
          <w:rFonts w:hint="eastAsia" w:eastAsia="方正仿宋_GBK"/>
          <w:sz w:val="28"/>
          <w:lang w:val="en-US" w:eastAsia="zh-CN"/>
        </w:rPr>
        <w:t>2</w:t>
      </w:r>
      <w:r>
        <w:rPr>
          <w:rFonts w:hint="eastAsia" w:eastAsia="方正仿宋_GBK"/>
          <w:sz w:val="28"/>
        </w:rPr>
        <w:t>年</w:t>
      </w:r>
      <w:r>
        <w:rPr>
          <w:rFonts w:hint="eastAsia" w:eastAsia="方正仿宋_GBK"/>
          <w:sz w:val="28"/>
          <w:lang w:val="en-US" w:eastAsia="zh-CN"/>
        </w:rPr>
        <w:t>新增加电子政务内务内网汇集点拓展接入项目，涉及资金2.6万元</w:t>
      </w:r>
      <w:r>
        <w:rPr>
          <w:rFonts w:hint="eastAsia" w:eastAsia="方正仿宋_GBK"/>
          <w:sz w:val="28"/>
        </w:rPr>
        <w:t>。</w:t>
      </w:r>
    </w:p>
    <w:p>
      <w:pPr>
        <w:pStyle w:val="3"/>
        <w:ind w:firstLine="640" w:firstLineChars="200"/>
        <w:jc w:val="left"/>
        <w:rPr>
          <w:rFonts w:ascii="黑体" w:hAnsi="黑体" w:eastAsia="黑体"/>
          <w:sz w:val="32"/>
        </w:rPr>
      </w:pPr>
      <w:r>
        <w:rPr>
          <w:rFonts w:hint="eastAsia" w:ascii="方正黑体_GBK" w:eastAsia="方正黑体_GBK"/>
          <w:sz w:val="32"/>
        </w:rPr>
        <w:t>三、机关运行经费安排情况</w:t>
      </w:r>
    </w:p>
    <w:p>
      <w:pPr>
        <w:spacing w:line="500" w:lineRule="exact"/>
        <w:ind w:firstLine="560" w:firstLineChars="200"/>
        <w:jc w:val="left"/>
        <w:rPr>
          <w:rFonts w:eastAsia="方正仿宋_GBK"/>
          <w:sz w:val="28"/>
        </w:rPr>
      </w:pPr>
      <w:r>
        <w:rPr>
          <w:rFonts w:hint="eastAsia" w:eastAsia="方正仿宋_GBK"/>
          <w:sz w:val="28"/>
        </w:rPr>
        <w:t>202</w:t>
      </w:r>
      <w:r>
        <w:rPr>
          <w:rFonts w:hint="eastAsia" w:eastAsia="方正仿宋_GBK"/>
          <w:sz w:val="28"/>
          <w:lang w:val="en-US" w:eastAsia="zh-CN"/>
        </w:rPr>
        <w:t>2</w:t>
      </w:r>
      <w:r>
        <w:rPr>
          <w:rFonts w:hint="eastAsia" w:eastAsia="方正仿宋_GBK"/>
          <w:sz w:val="28"/>
        </w:rPr>
        <w:t>年，</w:t>
      </w:r>
      <w:r>
        <w:rPr>
          <w:rFonts w:hint="eastAsia" w:eastAsia="方正仿宋_GBK"/>
          <w:sz w:val="28"/>
          <w:lang w:val="en-US" w:eastAsia="zh-CN"/>
        </w:rPr>
        <w:t>中共承德市鹰手营子矿区委机构编制委员会办公室</w:t>
      </w:r>
      <w:r>
        <w:rPr>
          <w:rFonts w:hint="eastAsia" w:eastAsia="方正仿宋_GBK"/>
          <w:sz w:val="28"/>
        </w:rPr>
        <w:t>机关运行经费共计安排</w:t>
      </w:r>
      <w:r>
        <w:rPr>
          <w:rFonts w:hint="eastAsia" w:eastAsia="方正仿宋_GBK"/>
          <w:sz w:val="28"/>
          <w:lang w:val="en-US" w:eastAsia="zh-CN"/>
        </w:rPr>
        <w:t>2.26</w:t>
      </w:r>
      <w:r>
        <w:rPr>
          <w:rFonts w:hint="eastAsia" w:eastAsia="方正仿宋_GBK"/>
          <w:sz w:val="28"/>
        </w:rPr>
        <w:t>万元，主要用于日常维修、水费、</w:t>
      </w:r>
      <w:r>
        <w:rPr>
          <w:rFonts w:hint="eastAsia" w:eastAsia="方正仿宋_GBK"/>
          <w:sz w:val="28"/>
          <w:lang w:val="en-US" w:eastAsia="zh-CN"/>
        </w:rPr>
        <w:t>电话</w:t>
      </w:r>
      <w:r>
        <w:rPr>
          <w:rFonts w:hint="eastAsia" w:eastAsia="方正仿宋_GBK"/>
          <w:sz w:val="28"/>
        </w:rPr>
        <w:t>费等日常运行支出。</w:t>
      </w:r>
    </w:p>
    <w:p>
      <w:pPr>
        <w:pStyle w:val="3"/>
        <w:ind w:firstLine="640" w:firstLineChars="200"/>
        <w:jc w:val="left"/>
        <w:rPr>
          <w:rFonts w:ascii="黑体" w:hAnsi="黑体" w:eastAsia="黑体"/>
          <w:sz w:val="32"/>
        </w:rPr>
      </w:pPr>
      <w:r>
        <w:rPr>
          <w:rFonts w:hint="eastAsia" w:ascii="方正黑体_GBK" w:eastAsia="方正黑体_GBK"/>
          <w:sz w:val="32"/>
        </w:rPr>
        <w:t>四、财政拨款</w:t>
      </w:r>
      <w:r>
        <w:rPr>
          <w:rFonts w:ascii="方正黑体_GBK" w:eastAsia="方正黑体_GBK"/>
          <w:sz w:val="32"/>
        </w:rPr>
        <w:t>“</w:t>
      </w:r>
      <w:r>
        <w:rPr>
          <w:rFonts w:hint="eastAsia" w:ascii="方正黑体_GBK" w:eastAsia="方正黑体_GBK"/>
          <w:sz w:val="32"/>
        </w:rPr>
        <w:t>三公</w:t>
      </w:r>
      <w:r>
        <w:rPr>
          <w:rFonts w:ascii="方正黑体_GBK" w:eastAsia="方正黑体_GBK"/>
          <w:sz w:val="32"/>
        </w:rPr>
        <w:t>”</w:t>
      </w:r>
      <w:r>
        <w:rPr>
          <w:rFonts w:hint="eastAsia" w:ascii="方正黑体_GBK" w:eastAsia="方正黑体_GBK"/>
          <w:sz w:val="32"/>
        </w:rPr>
        <w:t>经费预算情况及增减变化原因</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w:t>
      </w:r>
      <w:r>
        <w:rPr>
          <w:rFonts w:hint="eastAsia" w:eastAsia="方正仿宋_GBK"/>
          <w:sz w:val="28"/>
          <w:lang w:val="en-US" w:eastAsia="zh-CN"/>
        </w:rPr>
        <w:t>中共承德市鹰手营子矿区委机构编制委员会办公室</w:t>
      </w:r>
      <w:r>
        <w:rPr>
          <w:rFonts w:eastAsia="方正仿宋_GBK"/>
          <w:sz w:val="28"/>
        </w:rPr>
        <w:t>财政拨款“三公”经费预算安排</w:t>
      </w:r>
      <w:r>
        <w:rPr>
          <w:rFonts w:hint="eastAsia" w:eastAsia="方正仿宋_GBK"/>
          <w:sz w:val="28"/>
          <w:lang w:val="en-US" w:eastAsia="zh-CN"/>
        </w:rPr>
        <w:t>0</w:t>
      </w:r>
      <w:r>
        <w:rPr>
          <w:rFonts w:eastAsia="方正仿宋_GBK"/>
          <w:sz w:val="28"/>
        </w:rPr>
        <w:t>万元，其中因公出国（境）费</w:t>
      </w:r>
      <w:r>
        <w:rPr>
          <w:rFonts w:hint="eastAsia" w:eastAsia="方正仿宋_GBK"/>
          <w:sz w:val="28"/>
          <w:lang w:val="en-US" w:eastAsia="zh-CN"/>
        </w:rPr>
        <w:t>0</w:t>
      </w:r>
      <w:r>
        <w:rPr>
          <w:rFonts w:eastAsia="方正仿宋_GBK"/>
          <w:sz w:val="28"/>
        </w:rPr>
        <w:t>万元；公务用车购置及运维费</w:t>
      </w:r>
      <w:r>
        <w:rPr>
          <w:rFonts w:hint="eastAsia" w:eastAsia="方正仿宋_GBK"/>
          <w:sz w:val="28"/>
          <w:lang w:val="en-US" w:eastAsia="zh-CN"/>
        </w:rPr>
        <w:t>0</w:t>
      </w:r>
      <w:r>
        <w:rPr>
          <w:rFonts w:eastAsia="方正仿宋_GBK"/>
          <w:sz w:val="28"/>
        </w:rPr>
        <w:t>万元（其中：公务用车购置费为</w:t>
      </w:r>
      <w:r>
        <w:rPr>
          <w:rFonts w:hint="eastAsia" w:eastAsia="方正仿宋_GBK"/>
          <w:sz w:val="28"/>
          <w:lang w:val="en-US" w:eastAsia="zh-CN"/>
        </w:rPr>
        <w:t>0</w:t>
      </w:r>
      <w:r>
        <w:rPr>
          <w:rFonts w:hint="eastAsia" w:eastAsia="方正仿宋_GBK"/>
          <w:sz w:val="28"/>
        </w:rPr>
        <w:t>万元</w:t>
      </w:r>
      <w:r>
        <w:rPr>
          <w:rFonts w:eastAsia="方正仿宋_GBK"/>
          <w:sz w:val="28"/>
        </w:rPr>
        <w:t>，公务用车运</w:t>
      </w:r>
      <w:r>
        <w:rPr>
          <w:rFonts w:hint="eastAsia" w:eastAsia="方正仿宋_GBK"/>
          <w:sz w:val="28"/>
        </w:rPr>
        <w:t>维</w:t>
      </w:r>
      <w:r>
        <w:rPr>
          <w:rFonts w:eastAsia="方正仿宋_GBK"/>
          <w:sz w:val="28"/>
        </w:rPr>
        <w:t>费</w:t>
      </w:r>
      <w:r>
        <w:rPr>
          <w:rFonts w:hint="eastAsia" w:eastAsia="方正仿宋_GBK"/>
          <w:sz w:val="28"/>
          <w:lang w:val="en-US" w:eastAsia="zh-CN"/>
        </w:rPr>
        <w:t>0</w:t>
      </w:r>
      <w:r>
        <w:rPr>
          <w:rFonts w:eastAsia="方正仿宋_GBK"/>
          <w:sz w:val="28"/>
        </w:rPr>
        <w:t>万元)；公务接待费</w:t>
      </w:r>
      <w:r>
        <w:rPr>
          <w:rFonts w:hint="eastAsia" w:eastAsia="方正仿宋_GBK"/>
          <w:sz w:val="28"/>
          <w:lang w:val="en-US" w:eastAsia="zh-CN"/>
        </w:rPr>
        <w:t>0</w:t>
      </w:r>
      <w:r>
        <w:rPr>
          <w:rFonts w:eastAsia="方正仿宋_GBK"/>
          <w:sz w:val="28"/>
        </w:rPr>
        <w:t>万元。与202</w:t>
      </w:r>
      <w:r>
        <w:rPr>
          <w:rFonts w:hint="eastAsia" w:eastAsia="方正仿宋_GBK"/>
          <w:sz w:val="28"/>
          <w:lang w:val="en-US" w:eastAsia="zh-CN"/>
        </w:rPr>
        <w:t>1</w:t>
      </w:r>
      <w:r>
        <w:rPr>
          <w:rFonts w:eastAsia="方正仿宋_GBK"/>
          <w:sz w:val="28"/>
        </w:rPr>
        <w:t>年</w:t>
      </w:r>
      <w:r>
        <w:rPr>
          <w:rFonts w:hint="eastAsia" w:eastAsia="方正仿宋_GBK"/>
          <w:sz w:val="28"/>
        </w:rPr>
        <w:t>相比持平</w:t>
      </w:r>
      <w:r>
        <w:rPr>
          <w:rFonts w:hint="eastAsia" w:eastAsia="方正仿宋_GBK"/>
          <w:sz w:val="28"/>
          <w:lang w:eastAsia="zh-CN"/>
        </w:rPr>
        <w:t>，</w:t>
      </w:r>
      <w:r>
        <w:rPr>
          <w:rFonts w:hint="eastAsia" w:eastAsia="方正仿宋_GBK"/>
          <w:sz w:val="28"/>
          <w:lang w:val="en-US" w:eastAsia="zh-CN"/>
        </w:rPr>
        <w:t>2021年也无“三公”经费预算</w:t>
      </w:r>
      <w:r>
        <w:rPr>
          <w:rFonts w:eastAsia="方正仿宋_GBK"/>
          <w:sz w:val="28"/>
        </w:rPr>
        <w:t>。</w:t>
      </w:r>
    </w:p>
    <w:p>
      <w:pPr>
        <w:pStyle w:val="3"/>
        <w:ind w:firstLine="640" w:firstLineChars="200"/>
        <w:jc w:val="left"/>
        <w:rPr>
          <w:rFonts w:ascii="黑体" w:hAnsi="黑体" w:eastAsia="黑体"/>
          <w:sz w:val="32"/>
        </w:rPr>
      </w:pPr>
      <w:r>
        <w:rPr>
          <w:rFonts w:hint="eastAsia" w:ascii="方正黑体_GBK" w:eastAsia="方正黑体_GBK"/>
          <w:sz w:val="32"/>
        </w:rPr>
        <w:t>五、预算绩效信息</w:t>
      </w:r>
      <w:r>
        <w:rPr>
          <w:rFonts w:hint="eastAsia" w:ascii="黑体" w:hAnsi="黑体" w:eastAsia="黑体"/>
          <w:sz w:val="32"/>
        </w:rPr>
        <w:t xml:space="preserve"> </w:t>
      </w:r>
    </w:p>
    <w:p>
      <w:pPr>
        <w:ind w:firstLine="640" w:firstLineChars="200"/>
        <w:jc w:val="left"/>
        <w:rPr>
          <w:rFonts w:ascii="方正楷体_GBK" w:eastAsia="方正楷体_GBK"/>
          <w:b/>
          <w:sz w:val="32"/>
          <w:szCs w:val="32"/>
        </w:rPr>
      </w:pPr>
      <w:r>
        <w:rPr>
          <w:rFonts w:hint="eastAsia" w:ascii="方正楷体_GBK" w:eastAsia="方正楷体_GBK"/>
          <w:b/>
          <w:sz w:val="32"/>
          <w:szCs w:val="32"/>
        </w:rPr>
        <w:t>第一部分 部门整体绩效目标</w:t>
      </w:r>
    </w:p>
    <w:p>
      <w:pPr>
        <w:spacing w:line="500" w:lineRule="exact"/>
        <w:ind w:firstLine="560" w:firstLineChars="200"/>
        <w:jc w:val="left"/>
        <w:rPr>
          <w:rFonts w:eastAsia="方正仿宋_GBK"/>
          <w:sz w:val="28"/>
        </w:rPr>
      </w:pPr>
      <w:r>
        <w:rPr>
          <w:rFonts w:hint="eastAsia" w:eastAsia="方正仿宋_GBK"/>
          <w:sz w:val="28"/>
        </w:rPr>
        <w:t>（一）总体绩效目标</w:t>
      </w:r>
    </w:p>
    <w:p>
      <w:pPr>
        <w:pStyle w:val="25"/>
        <w:rPr>
          <w:rFonts w:eastAsia="方正仿宋_GBK"/>
          <w:sz w:val="28"/>
        </w:rPr>
      </w:pPr>
      <w:r>
        <w:rPr>
          <w:rFonts w:hint="eastAsia" w:ascii="Times New Roman" w:hAnsi="Times New Roman" w:eastAsia="方正仿宋_GBK" w:cs="Times New Roman"/>
          <w:kern w:val="2"/>
          <w:sz w:val="28"/>
          <w:szCs w:val="24"/>
          <w:lang w:val="en-US" w:eastAsia="zh-CN" w:bidi="ar-SA"/>
        </w:rPr>
        <w:t xml:space="preserve">坚持以习近平新时代中国特色社会主义思想为指导，全面贯彻党的十九大和十九届二中、三中、四中、五中、六中全会精神，坚决落实中央和省、市、区委编委决策部署，紧紧围绕区委中心工作，以加强党的全面领导为统领，以深化改革为主线，以贯彻落实《中国共产党机构编制工作条例》为着力点，健全完善党管机构编制制度体系，巩固深化机构改革成果，扎实推进改革工作，统筹配置机构编制资源，为建设“经济强区、幸福鹰城”做出新的更大的贡献。 </w:t>
      </w:r>
      <w:r>
        <w:rPr>
          <w:rFonts w:hint="eastAsia" w:eastAsia="方正仿宋_GBK"/>
          <w:sz w:val="28"/>
        </w:rPr>
        <w:t xml:space="preserve"> </w:t>
      </w:r>
    </w:p>
    <w:p>
      <w:pPr>
        <w:spacing w:line="500" w:lineRule="exact"/>
        <w:ind w:firstLine="560" w:firstLineChars="200"/>
        <w:jc w:val="left"/>
        <w:rPr>
          <w:rFonts w:eastAsia="方正仿宋_GBK"/>
          <w:sz w:val="28"/>
        </w:rPr>
      </w:pPr>
      <w:r>
        <w:rPr>
          <w:rFonts w:hint="eastAsia" w:eastAsia="方正仿宋_GBK"/>
          <w:sz w:val="28"/>
        </w:rPr>
        <w:t>（二）分项绩效目标</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1.深化机构改革</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绩效目标：牵头做好综合行政执法改革，事业单位清理规范及机关事业单位人事管理“一网通办”改革工作等改革。</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绩效指标：改革完成验收率达80%；在规定时间内完成改革工作</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2.机构编制管理</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绩效目标：持续推行机构编制动态管理制度，严格执行机构编制管理法律法规和党内法规，严格机构编制管理权限和程序，严禁超限额设置机构、超编进人、超职数配备领导干部。</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绩效指标：严格按照规定办理编制手续，调整编制平台数据。</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3.事业单位法人登记</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绩效目标：认真做好事业单位法人登记和年报审核工作，确保各单位能够及时办理，实现按期登记完毕，进一步提高工作效率和管理质量。</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绩效指标：及时完成法人登记和年报审核工作。</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4.机关事业单位域名管理</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绩效目标：做好机关事业单位域名管理工作，保障全区机关事业单位中文域名正常使用，保障和维护国家信息安全。</w:t>
      </w:r>
    </w:p>
    <w:p>
      <w:pPr>
        <w:pStyle w:val="26"/>
        <w:rPr>
          <w:rFonts w:hint="eastAsia" w:ascii="Times New Roman" w:hAnsi="Times New Roman" w:eastAsia="方正仿宋_GBK" w:cs="Times New Roman"/>
          <w:kern w:val="2"/>
          <w:sz w:val="28"/>
          <w:szCs w:val="24"/>
          <w:lang w:val="en-US" w:eastAsia="zh-CN" w:bidi="ar-SA"/>
        </w:rPr>
      </w:pPr>
      <w:r>
        <w:rPr>
          <w:rFonts w:hint="eastAsia" w:ascii="Times New Roman" w:hAnsi="Times New Roman" w:eastAsia="方正仿宋_GBK" w:cs="Times New Roman"/>
          <w:kern w:val="2"/>
          <w:sz w:val="28"/>
          <w:szCs w:val="24"/>
          <w:lang w:val="en-US" w:eastAsia="zh-CN" w:bidi="ar-SA"/>
        </w:rPr>
        <w:t>绩效指标：域名缴费率达100%；按时完成缴费工作。</w:t>
      </w:r>
    </w:p>
    <w:p>
      <w:pPr>
        <w:spacing w:line="500" w:lineRule="exact"/>
        <w:ind w:firstLine="560" w:firstLineChars="200"/>
        <w:jc w:val="left"/>
        <w:rPr>
          <w:rFonts w:eastAsia="方正仿宋_GBK"/>
          <w:sz w:val="28"/>
        </w:rPr>
      </w:pPr>
      <w:r>
        <w:rPr>
          <w:rFonts w:hint="eastAsia" w:eastAsia="方正仿宋_GBK"/>
          <w:sz w:val="28"/>
        </w:rPr>
        <w:t>（三）工作保障措施</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1.加强制度建设，健全完善机制体制</w:t>
      </w:r>
    </w:p>
    <w:p>
      <w:pPr>
        <w:spacing w:line="560" w:lineRule="exact"/>
        <w:ind w:firstLine="640" w:firstLineChars="2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根据区委区政府全面实施预算绩效管理的意见，以及我区预算绩效管理相关要求，健全完善编办预算绩效管理、预算资金管理等制度规定。</w:t>
      </w:r>
      <w:r>
        <w:rPr>
          <w:rFonts w:hint="eastAsia" w:ascii="仿宋_GB2312" w:eastAsia="仿宋_GB2312"/>
          <w:sz w:val="32"/>
          <w:szCs w:val="32"/>
        </w:rPr>
        <w:t>按要求开展绩效运行监控，发现问题及时采取措施，确保绩效目标如期保质实现。按要求开展上年度部门预算绩效自评和重点评价工作，对评价中发现的问题及时整改，调整优化支出结构，提高财政资金使用效益。</w:t>
      </w:r>
      <w:r>
        <w:rPr>
          <w:rFonts w:hint="eastAsia" w:ascii="仿宋_GB2312" w:hAnsi="方正仿宋_GBK" w:eastAsia="仿宋_GB2312" w:cs="方正仿宋_GBK"/>
          <w:sz w:val="32"/>
          <w:szCs w:val="32"/>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2.加强支出管理，确保支出进度达标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编细编实预算，将项目细化到可执行程度，确保批复即可执行。通过加快履行政府采购手续、尽快启动项目、及时支付资金等措施，督导各项工作活动按年初计划组织开展，及时有序支付资金。加强预算资金支出动态过程管理，及时协调解决预算项目中遇到的困难问题，实时掌握预算支出进度，按照区财政局关于支出进度的关键时间节点，对预算资金项目进度进行通报，督促加快项目执行。</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3.加强内部监管，确保资金安全有效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完善财务管理制度，严格财务资金审批程序，加强固定资产登记、使用和报废处置管理，最大程度发挥国有资产效能。完善内部监督制度，加强对绩效运行情况、重大支出决策、资产处置及其他重要事项决策和执行的督导，对会计资料开展内部审计，配合做好审计、财政监督等外部监督工作，确保财政资金安全有效。</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4.加强宣传培训调研，提升预算绩效管理水平</w:t>
      </w:r>
    </w:p>
    <w:p>
      <w:pPr>
        <w:spacing w:line="560" w:lineRule="exact"/>
        <w:ind w:firstLine="640" w:firstLineChars="200"/>
        <w:jc w:val="left"/>
        <w:rPr>
          <w:rFonts w:eastAsia="方正仿宋_GBK"/>
          <w:sz w:val="28"/>
        </w:rPr>
      </w:pPr>
      <w:r>
        <w:rPr>
          <w:rFonts w:hint="eastAsia" w:ascii="仿宋_GB2312" w:eastAsia="仿宋_GB2312"/>
          <w:sz w:val="32"/>
          <w:szCs w:val="32"/>
        </w:rPr>
        <w:t>加强预算绩效管理专业知识培训，提高预算绩效管理工作人员的业务素质，不断优化财务人员知识结构，促进财务人员严格履行职责，提高财务管理的科学化和规范化水平。加强预算绩效调研工作，将绩效管理方法融入预算编制、执行和监督过程中，强化绩效评价结果应用，提出优化财政资金配置、提高资金使用效益的意见。加大预算绩效宣传力度，强化预算绩效管理意识，为预算绩效管理创造良好的思想基础和舆论环境，促进预算绩效管理水平进一步提升。</w:t>
      </w:r>
    </w:p>
    <w:p>
      <w:pPr>
        <w:ind w:firstLine="640" w:firstLineChars="200"/>
        <w:jc w:val="left"/>
        <w:rPr>
          <w:rFonts w:ascii="方正楷体_GBK" w:eastAsia="方正楷体_GBK"/>
          <w:b/>
          <w:sz w:val="32"/>
          <w:szCs w:val="32"/>
        </w:rPr>
      </w:pPr>
      <w:r>
        <w:rPr>
          <w:rFonts w:hint="eastAsia" w:ascii="方正楷体_GBK" w:eastAsia="方正楷体_GBK"/>
          <w:b/>
          <w:sz w:val="32"/>
          <w:szCs w:val="32"/>
        </w:rPr>
        <w:t>第二部分  专项资金绩效目标：</w:t>
      </w:r>
      <w:r>
        <w:rPr>
          <w:rFonts w:ascii="方正楷体_GBK" w:eastAsia="方正楷体_GBK"/>
          <w:b/>
          <w:sz w:val="32"/>
          <w:szCs w:val="32"/>
        </w:rPr>
        <w:t xml:space="preserve"> </w:t>
      </w:r>
    </w:p>
    <w:p>
      <w:pPr>
        <w:ind w:firstLine="560"/>
        <w:rPr>
          <w:rFonts w:eastAsia="方正仿宋_GBK"/>
          <w:sz w:val="32"/>
          <w:szCs w:val="32"/>
        </w:rPr>
      </w:pPr>
      <w:r>
        <w:rPr>
          <w:rFonts w:hint="eastAsia" w:eastAsia="方正仿宋_GBK"/>
          <w:sz w:val="32"/>
          <w:szCs w:val="32"/>
          <w:lang w:val="en-US" w:eastAsia="zh-CN"/>
        </w:rPr>
        <w:t>我部门无专项资金</w:t>
      </w:r>
      <w:r>
        <w:rPr>
          <w:rFonts w:eastAsia="方正仿宋_GBK"/>
          <w:sz w:val="32"/>
          <w:szCs w:val="32"/>
        </w:rPr>
        <w:fldChar w:fldCharType="begin"/>
      </w:r>
      <w:r>
        <w:rPr>
          <w:rFonts w:eastAsia="方正仿宋_GBK"/>
          <w:sz w:val="32"/>
          <w:szCs w:val="32"/>
        </w:rPr>
        <w:instrText xml:space="preserve"> </w:instrText>
      </w:r>
      <w:r>
        <w:rPr>
          <w:rFonts w:hint="eastAsia" w:eastAsia="方正仿宋_GBK"/>
          <w:sz w:val="32"/>
          <w:szCs w:val="32"/>
        </w:rPr>
        <w:instrText xml:space="preserve">TC 3、农村综合改革专项资金绩效目标表 \f B \l 1</w:instrText>
      </w:r>
      <w:r>
        <w:rPr>
          <w:rFonts w:eastAsia="方正仿宋_GBK"/>
          <w:sz w:val="32"/>
          <w:szCs w:val="32"/>
        </w:rPr>
        <w:instrText xml:space="preserve"> </w:instrText>
      </w:r>
      <w:r>
        <w:rPr>
          <w:rFonts w:eastAsia="方正仿宋_GBK"/>
          <w:sz w:val="32"/>
          <w:szCs w:val="32"/>
        </w:rPr>
        <w:fldChar w:fldCharType="end"/>
      </w:r>
    </w:p>
    <w:p>
      <w:pPr>
        <w:spacing w:line="14" w:lineRule="exact"/>
        <w:ind w:firstLine="420" w:firstLineChars="200"/>
        <w:jc w:val="center"/>
        <w:rPr>
          <w:rFonts w:hAnsi="宋体"/>
        </w:rPr>
      </w:pPr>
      <w:r>
        <w:rPr>
          <w:rFonts w:ascii="方正书宋_GBK" w:eastAsia="方正书宋_GBK"/>
        </w:rPr>
        <w:t xml:space="preserve"> </w:t>
      </w:r>
    </w:p>
    <w:p>
      <w:pPr>
        <w:ind w:firstLine="560"/>
        <w:rPr>
          <w:rFonts w:eastAsia="方正仿宋_GBK"/>
          <w:b/>
          <w:sz w:val="32"/>
          <w:szCs w:val="32"/>
        </w:rPr>
      </w:pPr>
      <w:r>
        <w:rPr>
          <w:rFonts w:hint="eastAsia" w:eastAsia="方正仿宋_GBK"/>
          <w:b/>
          <w:sz w:val="32"/>
          <w:szCs w:val="32"/>
        </w:rPr>
        <w:t>第三部分  预算项目绩效目标：</w:t>
      </w:r>
    </w:p>
    <w:p>
      <w:pPr>
        <w:spacing w:line="500" w:lineRule="exact"/>
        <w:ind w:firstLine="560" w:firstLineChars="200"/>
        <w:jc w:val="left"/>
        <w:rPr>
          <w:rFonts w:eastAsia="方正仿宋_GBK"/>
          <w:sz w:val="28"/>
        </w:rPr>
      </w:pPr>
      <w:r>
        <w:rPr>
          <w:rFonts w:hint="eastAsia" w:eastAsia="方正仿宋_GBK"/>
          <w:sz w:val="28"/>
        </w:rPr>
        <w:t xml:space="preserve"> 1、</w:t>
      </w:r>
      <w:r>
        <w:rPr>
          <w:rFonts w:ascii="方正仿宋_GBK" w:hAnsi="方正仿宋_GBK" w:eastAsia="方正仿宋_GBK" w:cs="方正仿宋_GBK"/>
          <w:color w:val="000000"/>
          <w:sz w:val="28"/>
        </w:rPr>
        <w:t>电子政务内网汇集点扩展接入</w:t>
      </w:r>
      <w:r>
        <w:rPr>
          <w:rFonts w:hint="eastAsia"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left"/>
              <w:rPr>
                <w:rFonts w:ascii="方正书宋_GBK" w:eastAsia="方正书宋_GBK"/>
                <w:b/>
                <w:szCs w:val="21"/>
              </w:rPr>
            </w:pPr>
            <w:r>
              <w:rPr>
                <w:rFonts w:hint="eastAsia" w:ascii="方正书宋_GBK" w:eastAsia="方正书宋_GBK"/>
                <w:b/>
                <w:szCs w:val="21"/>
              </w:rPr>
              <w:t xml:space="preserve">根据《中共河北省委机构编制委员会办公室等五部门关于全面推进机关事业单位人事管理“一网通办”改革加快电子政务内网建设的通知》文件要求，需要依托省电子政务内网开展机关事业单位人事管理“一网通办”改革。该项目2022年度需资金2.6万元。该项目工程总价款为5.3225万元，按照合同约定，验收完成后需支付总价款的95%，即5.056375万元。由于本年度财政资金紧张，拟支付50%，即2.6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r>
              <w:rPr>
                <w:rFonts w:hint="eastAsia" w:ascii="方正书宋_GBK" w:eastAsia="方正书宋_GBK"/>
                <w:szCs w:val="21"/>
              </w:rPr>
              <w:t>产出指标</w:t>
            </w: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硬件配置完成率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硬件配置完成率=实际采购、安装硬件数量/计划采购、安装的数量*100%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验收合格率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系统验收合格率=系统验收合格数量/系统总数量*100%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信息系统建设执行率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信息系统建设执行率=按照计划及时购买安装的软硬件数量/计划购买安装软硬件数量*100%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《软件质量要求与评价指南》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采购总成本控制率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采购总成本控制率=实际采购总成本/采购总预算成本*100%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r>
              <w:rPr>
                <w:rFonts w:hint="eastAsia" w:ascii="方正书宋_GBK" w:eastAsia="方正书宋_GBK"/>
                <w:szCs w:val="21"/>
              </w:rPr>
              <w:t>效果指标</w:t>
            </w: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设备使用率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设备使用率=信息设备或建设的系统使用台数（或功能）/设备总（功能）数*100%</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书宋_GBK" w:eastAsia="方正书宋_GBK"/>
                <w:szCs w:val="21"/>
              </w:rPr>
            </w:pPr>
            <w:r>
              <w:rPr>
                <w:rFonts w:hint="eastAsia" w:ascii="方正书宋_GBK" w:eastAsia="方正书宋_GBK"/>
                <w:szCs w:val="21"/>
              </w:rPr>
              <w:t>满意度指标</w:t>
            </w:r>
          </w:p>
        </w:tc>
        <w:tc>
          <w:tcPr>
            <w:tcW w:w="27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方正书宋_GBK" w:eastAsia="方正书宋_GBK"/>
                <w:szCs w:val="21"/>
              </w:rPr>
            </w:pPr>
            <w:r>
              <w:rPr>
                <w:rFonts w:hint="eastAsia" w:ascii="方正书宋_GBK" w:eastAsia="方正书宋_GBK"/>
                <w:szCs w:val="21"/>
              </w:rPr>
              <w:t>服务对象满意度指标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pPr>
            <w:r>
              <w:t>网络使用人员</w:t>
            </w:r>
          </w:p>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满意度</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信息系统使用人员满意度</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日常工作经验标准</w:t>
            </w:r>
          </w:p>
        </w:tc>
      </w:tr>
    </w:tbl>
    <w:p>
      <w:pPr>
        <w:rPr>
          <w:rFonts w:eastAsia="方正仿宋_GBK"/>
          <w:sz w:val="32"/>
          <w:szCs w:val="32"/>
        </w:rPr>
      </w:pPr>
    </w:p>
    <w:p>
      <w:pPr>
        <w:spacing w:line="500" w:lineRule="exact"/>
        <w:ind w:firstLine="560" w:firstLineChars="200"/>
        <w:jc w:val="left"/>
        <w:rPr>
          <w:rFonts w:eastAsia="方正仿宋_GBK"/>
          <w:sz w:val="28"/>
        </w:rPr>
      </w:pPr>
      <w:r>
        <w:rPr>
          <w:rFonts w:eastAsia="方正仿宋_GBK"/>
          <w:sz w:val="28"/>
        </w:rPr>
        <w:t>2、</w:t>
      </w:r>
      <w:r>
        <w:rPr>
          <w:rFonts w:ascii="方正仿宋_GBK" w:hAnsi="方正仿宋_GBK" w:eastAsia="方正仿宋_GBK" w:cs="方正仿宋_GBK"/>
          <w:color w:val="000000"/>
          <w:sz w:val="28"/>
        </w:rPr>
        <w:t>深化机构改革工作</w:t>
      </w:r>
      <w:r>
        <w:rPr>
          <w:rFonts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left"/>
              <w:rPr>
                <w:rFonts w:ascii="方正书宋_GBK" w:eastAsia="方正书宋_GBK"/>
                <w:b/>
                <w:szCs w:val="21"/>
              </w:rPr>
            </w:pPr>
            <w:r>
              <w:rPr>
                <w:rFonts w:hint="eastAsia" w:ascii="方正书宋_GBK" w:eastAsia="方正书宋_GBK"/>
                <w:b/>
                <w:szCs w:val="21"/>
              </w:rPr>
              <w:t>2022年度继续推进三大领域综合执法改革和应急管理局执法改革，按上级要求完成事业单位改革工作，完成机构挂牌，维护“一网通办”网络良好运行。项目资金主要用于因以上改革工作产生的资料印刷费、办公用品购置费、培训费、差旅费和邮电费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机构改革完成数量</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机构改革完成数量</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改革工作要求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机构改革工作审批通过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机构改革工作审批通过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改革工作要求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机构改革工作及时完成</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机构改革工作及时完成</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改革工作要求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总成本控制率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总成本控制率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内控要求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效果指标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反映运转保障各项工作开展的效果</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反映运转保障各项工作开展的效果</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改革工作要求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pPr>
            <w:r>
              <w:t>服务对象</w:t>
            </w:r>
          </w:p>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满意度指标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pPr>
          </w:p>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满意度</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60" w:lineRule="exact"/>
              <w:textAlignment w:val="auto"/>
              <w:rPr>
                <w:rFonts w:ascii="方正书宋_GBK" w:eastAsia="方正书宋_GBK"/>
                <w:szCs w:val="21"/>
              </w:rPr>
            </w:pPr>
            <w:r>
              <w:t>参与改革单位满意情况</w:t>
            </w:r>
          </w:p>
        </w:tc>
      </w:tr>
    </w:tbl>
    <w:p>
      <w:pPr>
        <w:ind w:firstLine="560"/>
        <w:rPr>
          <w:rFonts w:eastAsia="方正仿宋_GBK"/>
          <w:sz w:val="32"/>
          <w:szCs w:val="32"/>
        </w:rPr>
      </w:pPr>
    </w:p>
    <w:p>
      <w:pPr>
        <w:spacing w:line="500" w:lineRule="exact"/>
        <w:ind w:firstLine="560" w:firstLineChars="200"/>
        <w:jc w:val="left"/>
        <w:rPr>
          <w:rFonts w:eastAsia="方正仿宋_GBK"/>
          <w:sz w:val="28"/>
        </w:rPr>
      </w:pPr>
      <w:r>
        <w:rPr>
          <w:rFonts w:hint="eastAsia" w:eastAsia="方正仿宋_GBK"/>
          <w:sz w:val="28"/>
          <w:lang w:val="en-US" w:eastAsia="zh-CN"/>
        </w:rPr>
        <w:t>3</w:t>
      </w:r>
      <w:r>
        <w:rPr>
          <w:rFonts w:eastAsia="方正仿宋_GBK"/>
          <w:sz w:val="28"/>
        </w:rPr>
        <w:t>、</w:t>
      </w:r>
      <w:r>
        <w:rPr>
          <w:rFonts w:ascii="方正仿宋_GBK" w:hAnsi="方正仿宋_GBK" w:eastAsia="方正仿宋_GBK" w:cs="方正仿宋_GBK"/>
          <w:color w:val="000000"/>
          <w:sz w:val="28"/>
        </w:rPr>
        <w:t>营子区机关事业单位域名管理</w:t>
      </w:r>
      <w:r>
        <w:rPr>
          <w:rFonts w:eastAsia="方正仿宋_GBK"/>
          <w:sz w:val="28"/>
        </w:rPr>
        <w:t>项目绩效目标表</w:t>
      </w:r>
    </w:p>
    <w:p>
      <w:pPr>
        <w:spacing w:line="14" w:lineRule="exact"/>
        <w:ind w:firstLine="420" w:firstLineChars="200"/>
        <w:jc w:val="center"/>
        <w:rPr>
          <w:rFonts w:hAnsi="宋体"/>
        </w:rPr>
      </w:pPr>
      <w:r>
        <w:rPr>
          <w:rFonts w:ascii="方正书宋_GBK" w:eastAsia="方正书宋_GBK"/>
        </w:rPr>
        <w:t xml:space="preserve"> </w:t>
      </w:r>
    </w:p>
    <w:tbl>
      <w:tblPr>
        <w:tblStyle w:val="11"/>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81"/>
        <w:gridCol w:w="2724"/>
        <w:gridCol w:w="1387"/>
        <w:gridCol w:w="2007"/>
        <w:gridCol w:w="1276"/>
        <w:gridCol w:w="3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绩效目标</w:t>
            </w:r>
          </w:p>
        </w:tc>
        <w:tc>
          <w:tcPr>
            <w:tcW w:w="10521" w:type="dxa"/>
            <w:gridSpan w:val="5"/>
            <w:shd w:val="clear" w:color="auto" w:fill="auto"/>
            <w:vAlign w:val="center"/>
          </w:tcPr>
          <w:p>
            <w:pPr>
              <w:spacing w:line="300" w:lineRule="exact"/>
              <w:jc w:val="center"/>
              <w:rPr>
                <w:rFonts w:ascii="方正书宋_GBK" w:eastAsia="方正书宋_GBK"/>
                <w:b w:val="0"/>
                <w:bCs/>
                <w:szCs w:val="21"/>
              </w:rPr>
            </w:pPr>
            <w:r>
              <w:rPr>
                <w:rFonts w:ascii="方正书宋_GBK" w:eastAsia="方正书宋_GBK"/>
                <w:b w:val="0"/>
                <w:bCs/>
                <w:szCs w:val="21"/>
              </w:rPr>
              <w:t>为全区82个机关事业单位域名续费，确保全区机关事业单位中文域名正常使用，保障和维护国家信息安全。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781"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一级指标</w:t>
            </w:r>
          </w:p>
        </w:tc>
        <w:tc>
          <w:tcPr>
            <w:tcW w:w="2724"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二级指标</w:t>
            </w:r>
          </w:p>
        </w:tc>
        <w:tc>
          <w:tcPr>
            <w:tcW w:w="138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三级指标</w:t>
            </w:r>
          </w:p>
        </w:tc>
        <w:tc>
          <w:tcPr>
            <w:tcW w:w="200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绩效指标描述</w:t>
            </w:r>
          </w:p>
        </w:tc>
        <w:tc>
          <w:tcPr>
            <w:tcW w:w="1276"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w:t>
            </w:r>
          </w:p>
        </w:tc>
        <w:tc>
          <w:tcPr>
            <w:tcW w:w="3127" w:type="dxa"/>
            <w:shd w:val="clear" w:color="auto" w:fill="auto"/>
            <w:vAlign w:val="center"/>
          </w:tcPr>
          <w:p>
            <w:pPr>
              <w:spacing w:line="300" w:lineRule="exact"/>
              <w:jc w:val="center"/>
              <w:rPr>
                <w:rFonts w:ascii="方正书宋_GBK" w:eastAsia="方正书宋_GBK"/>
                <w:b/>
                <w:szCs w:val="21"/>
              </w:rPr>
            </w:pPr>
            <w:r>
              <w:rPr>
                <w:rFonts w:hint="eastAsia" w:ascii="方正书宋_GBK" w:eastAsia="方正书宋_GBK"/>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restart"/>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数量指标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完成续费域名数量</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完成续费域名数量</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82</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续费域名数量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续费正确率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续费正确率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2022年底前完成续费</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2022年底前完成续费</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2022年12月31日</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续费完成时间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vMerge w:val="continue"/>
            <w:shd w:val="clear" w:color="auto" w:fill="auto"/>
            <w:vAlign w:val="center"/>
          </w:tcPr>
          <w:p>
            <w:pPr>
              <w:spacing w:line="300" w:lineRule="exact"/>
              <w:jc w:val="center"/>
              <w:rPr>
                <w:rFonts w:ascii="方正书宋_GBK" w:eastAsia="方正书宋_GBK"/>
                <w:szCs w:val="21"/>
              </w:rPr>
            </w:pP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成本指标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总成本控制率</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总成本控制率</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≤100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内控要求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效果指标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确保全区机关事业单位中文域名正常使用，保障和维护国家信息安全</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确保全区机关事业单位中文域名正常使用，保障和维护国家信息安全</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反映域名正常使用情况</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781" w:type="dxa"/>
            <w:shd w:val="clear" w:color="auto" w:fill="auto"/>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2724" w:type="dxa"/>
            <w:shd w:val="clear" w:color="auto" w:fill="auto"/>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138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服务单位满意度</w:t>
            </w:r>
          </w:p>
        </w:tc>
        <w:tc>
          <w:tcPr>
            <w:tcW w:w="200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服务单位满意度</w:t>
            </w:r>
          </w:p>
        </w:tc>
        <w:tc>
          <w:tcPr>
            <w:tcW w:w="1276"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≥90</w:t>
            </w:r>
          </w:p>
        </w:tc>
        <w:tc>
          <w:tcPr>
            <w:tcW w:w="3127" w:type="dxa"/>
            <w:shd w:val="clear" w:color="auto" w:fill="auto"/>
            <w:vAlign w:val="center"/>
          </w:tcPr>
          <w:p>
            <w:pPr>
              <w:pStyle w:val="27"/>
              <w:keepNext w:val="0"/>
              <w:keepLines w:val="0"/>
              <w:pageBreakBefore w:val="0"/>
              <w:widowControl w:val="0"/>
              <w:kinsoku/>
              <w:wordWrap/>
              <w:overflowPunct/>
              <w:topLinePunct w:val="0"/>
              <w:autoSpaceDE/>
              <w:autoSpaceDN/>
              <w:bidi w:val="0"/>
              <w:adjustRightInd/>
              <w:snapToGrid/>
              <w:spacing w:line="320" w:lineRule="exact"/>
              <w:textAlignment w:val="auto"/>
              <w:rPr>
                <w:rFonts w:ascii="方正书宋_GBK" w:eastAsia="方正书宋_GBK"/>
                <w:szCs w:val="21"/>
              </w:rPr>
            </w:pPr>
            <w:r>
              <w:t>日常工作经验</w:t>
            </w:r>
          </w:p>
        </w:tc>
      </w:tr>
    </w:tbl>
    <w:p>
      <w:pPr>
        <w:pStyle w:val="3"/>
        <w:ind w:firstLine="640" w:firstLineChars="200"/>
        <w:jc w:val="left"/>
        <w:rPr>
          <w:rFonts w:ascii="黑体" w:hAnsi="黑体" w:eastAsia="黑体"/>
          <w:sz w:val="32"/>
        </w:rPr>
      </w:pPr>
      <w:r>
        <w:rPr>
          <w:rFonts w:hint="eastAsia" w:ascii="方正黑体_GBK" w:eastAsia="方正黑体_GBK"/>
          <w:sz w:val="32"/>
        </w:rPr>
        <w:t>六、政府采购预算情况</w:t>
      </w:r>
      <w:r>
        <w:rPr>
          <w:rFonts w:hint="eastAsia" w:ascii="黑体" w:hAnsi="黑体" w:eastAsia="黑体"/>
          <w:sz w:val="32"/>
        </w:rPr>
        <w:t xml:space="preserve"> </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2</w:t>
      </w:r>
      <w:r>
        <w:rPr>
          <w:rFonts w:eastAsia="方正仿宋_GBK"/>
          <w:sz w:val="28"/>
        </w:rPr>
        <w:t>年，</w:t>
      </w:r>
      <w:r>
        <w:rPr>
          <w:rFonts w:hint="eastAsia" w:eastAsia="方正仿宋_GBK"/>
          <w:sz w:val="28"/>
          <w:lang w:val="en-US" w:eastAsia="zh-CN"/>
        </w:rPr>
        <w:t>中共承德市鹰手营子矿区委机构编制委员会办公室</w:t>
      </w:r>
      <w:r>
        <w:rPr>
          <w:rFonts w:eastAsia="方正仿宋_GBK"/>
          <w:sz w:val="28"/>
        </w:rPr>
        <w:t>采购预算</w:t>
      </w:r>
      <w:r>
        <w:rPr>
          <w:rFonts w:hint="eastAsia" w:eastAsia="方正仿宋_GBK"/>
          <w:sz w:val="28"/>
          <w:lang w:val="en-US" w:eastAsia="zh-CN"/>
        </w:rPr>
        <w:t>0</w:t>
      </w:r>
      <w:r>
        <w:rPr>
          <w:rFonts w:eastAsia="方正仿宋_GBK"/>
          <w:sz w:val="28"/>
        </w:rPr>
        <w:t>万元。具体内容见下表。</w:t>
      </w:r>
    </w:p>
    <w:p>
      <w:pPr>
        <w:pStyle w:val="3"/>
        <w:ind w:firstLine="640" w:firstLineChars="200"/>
        <w:jc w:val="left"/>
        <w:rPr>
          <w:rFonts w:ascii="黑体" w:hAnsi="黑体" w:eastAsia="黑体"/>
          <w:sz w:val="32"/>
        </w:rPr>
      </w:pPr>
      <w:r>
        <w:rPr>
          <w:rFonts w:hint="eastAsia" w:ascii="方正黑体_GBK" w:eastAsia="方正黑体_GBK"/>
          <w:sz w:val="32"/>
        </w:rPr>
        <w:t>七、国有资产信息</w:t>
      </w:r>
    </w:p>
    <w:p>
      <w:pPr>
        <w:spacing w:line="500" w:lineRule="exact"/>
        <w:ind w:firstLine="560" w:firstLineChars="200"/>
        <w:jc w:val="left"/>
        <w:rPr>
          <w:rFonts w:eastAsia="方正仿宋_GBK"/>
          <w:sz w:val="28"/>
        </w:rPr>
      </w:pPr>
      <w:r>
        <w:rPr>
          <w:rFonts w:hint="eastAsia" w:eastAsia="方正仿宋_GBK"/>
          <w:sz w:val="28"/>
          <w:lang w:val="en-US" w:eastAsia="zh-CN"/>
        </w:rPr>
        <w:t>中共承德市鹰手营子矿区委机构编制委员会办公室</w:t>
      </w:r>
      <w:r>
        <w:rPr>
          <w:rFonts w:hint="eastAsia" w:eastAsia="方正仿宋_GBK"/>
          <w:sz w:val="28"/>
        </w:rPr>
        <w:t>（含所属单位）上年末固定资产金额为</w:t>
      </w:r>
      <w:r>
        <w:rPr>
          <w:rFonts w:hint="eastAsia" w:eastAsia="方正仿宋_GBK"/>
          <w:sz w:val="28"/>
          <w:lang w:val="en-US" w:eastAsia="zh-CN"/>
        </w:rPr>
        <w:t>2.891072</w:t>
      </w:r>
      <w:r>
        <w:rPr>
          <w:rFonts w:hint="eastAsia" w:eastAsia="方正仿宋_GBK"/>
          <w:sz w:val="28"/>
        </w:rPr>
        <w:t>万元（详见下表），本年度拟购置固定资产总额为</w:t>
      </w:r>
      <w:r>
        <w:rPr>
          <w:rFonts w:hint="eastAsia" w:eastAsia="方正仿宋_GBK"/>
          <w:sz w:val="28"/>
          <w:lang w:val="en-US" w:eastAsia="zh-CN"/>
        </w:rPr>
        <w:t>1.59</w:t>
      </w:r>
      <w:r>
        <w:rPr>
          <w:rFonts w:hint="eastAsia" w:eastAsia="方正仿宋_GBK"/>
          <w:sz w:val="28"/>
        </w:rPr>
        <w:t>万元，主要为计算机设备、打印设备、</w:t>
      </w:r>
      <w:r>
        <w:rPr>
          <w:rFonts w:hint="eastAsia" w:eastAsia="方正仿宋_GBK"/>
          <w:sz w:val="28"/>
          <w:lang w:val="en-US" w:eastAsia="zh-CN"/>
        </w:rPr>
        <w:t>网卡</w:t>
      </w:r>
      <w:r>
        <w:rPr>
          <w:rFonts w:hint="eastAsia" w:eastAsia="方正仿宋_GBK"/>
          <w:sz w:val="28"/>
        </w:rPr>
        <w:t>等。</w:t>
      </w:r>
    </w:p>
    <w:p>
      <w:pPr>
        <w:spacing w:line="500" w:lineRule="exact"/>
        <w:ind w:firstLine="560" w:firstLineChars="200"/>
        <w:jc w:val="left"/>
        <w:rPr>
          <w:rFonts w:eastAsia="方正仿宋_GBK"/>
          <w:sz w:val="28"/>
        </w:rPr>
      </w:pPr>
    </w:p>
    <w:p>
      <w:pPr>
        <w:jc w:val="center"/>
        <w:rPr>
          <w:rFonts w:ascii="仿宋_GB2312" w:hAnsi="黑体" w:eastAsia="仿宋_GB2312"/>
          <w:sz w:val="32"/>
          <w:szCs w:val="32"/>
        </w:rPr>
      </w:pPr>
      <w:r>
        <w:rPr>
          <w:rFonts w:hint="eastAsia" w:ascii="黑体" w:hAnsi="黑体" w:eastAsia="黑体" w:cs="宋体"/>
          <w:bCs/>
          <w:kern w:val="0"/>
          <w:sz w:val="32"/>
          <w:szCs w:val="32"/>
          <w:lang w:val="en-US" w:eastAsia="zh-CN"/>
        </w:rPr>
        <w:t>中共承德市鹰手营子矿区委机构编制委员会办公室</w:t>
      </w:r>
      <w:r>
        <w:rPr>
          <w:rFonts w:hint="eastAsia" w:ascii="黑体" w:hAnsi="黑体" w:eastAsia="黑体" w:cs="宋体"/>
          <w:bCs/>
          <w:kern w:val="0"/>
          <w:sz w:val="32"/>
          <w:szCs w:val="32"/>
        </w:rPr>
        <w:t>部门固定资产占用情况表</w:t>
      </w:r>
    </w:p>
    <w:tbl>
      <w:tblPr>
        <w:tblStyle w:val="11"/>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spacing w:line="300" w:lineRule="exact"/>
              <w:jc w:val="left"/>
              <w:rPr>
                <w:rFonts w:hint="eastAsia" w:ascii="方正小标宋_GBK" w:eastAsia="方正小标宋_GBK"/>
                <w:sz w:val="24"/>
                <w:lang w:eastAsia="zh-CN"/>
              </w:rPr>
            </w:pPr>
            <w:r>
              <w:rPr>
                <w:rFonts w:hint="eastAsia" w:ascii="方正小标宋_GBK" w:eastAsia="方正小标宋_GBK"/>
                <w:sz w:val="24"/>
                <w:lang w:eastAsia="zh-CN"/>
              </w:rPr>
              <w:t>225002中共承德市鹰手营子矿区委机构编制委员会办公室</w:t>
            </w:r>
          </w:p>
        </w:tc>
        <w:tc>
          <w:tcPr>
            <w:tcW w:w="5103" w:type="dxa"/>
            <w:tcBorders>
              <w:top w:val="nil"/>
              <w:left w:val="nil"/>
              <w:bottom w:val="nil"/>
              <w:right w:val="nil"/>
            </w:tcBorders>
            <w:shd w:val="clear" w:color="auto" w:fill="auto"/>
            <w:noWrap/>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w:t>
            </w:r>
            <w:r>
              <w:rPr>
                <w:rFonts w:hint="eastAsia" w:ascii="方正小标宋_GBK" w:eastAsia="方正小标宋_GBK"/>
                <w:sz w:val="24"/>
                <w:lang w:val="en-US" w:eastAsia="zh-CN"/>
              </w:rPr>
              <w:t>1</w:t>
            </w:r>
            <w:r>
              <w:rPr>
                <w:rFonts w:hint="eastAsia" w:ascii="方正小标宋_GBK" w:eastAsia="方正小标宋_GBK"/>
                <w:sz w:val="24"/>
              </w:rPr>
              <w:t xml:space="preserve">年12月31日  </w:t>
            </w:r>
          </w:p>
        </w:tc>
      </w:tr>
      <w:tr>
        <w:tblPrEx>
          <w:tblCellMar>
            <w:top w:w="0" w:type="dxa"/>
            <w:left w:w="108" w:type="dxa"/>
            <w:bottom w:w="0" w:type="dxa"/>
            <w:right w:w="108" w:type="dxa"/>
          </w:tblCellMar>
        </w:tblPrEx>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b/>
                <w:bCs/>
                <w:kern w:val="0"/>
                <w:szCs w:val="21"/>
              </w:rPr>
            </w:pPr>
            <w:r>
              <w:rPr>
                <w:rFonts w:hint="eastAsia" w:ascii="方正书宋_GBK" w:hAnsi="宋体" w:eastAsia="方正书宋_GBK" w:cs="宋体"/>
                <w:b/>
                <w:bCs/>
                <w:kern w:val="0"/>
                <w:szCs w:val="21"/>
              </w:rPr>
              <w:t>价值（金额单位：万元）</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hAnsi="宋体" w:eastAsia="方正书宋_GBK" w:cs="宋体"/>
                <w:kern w:val="0"/>
                <w:szCs w:val="21"/>
              </w:rPr>
            </w:pPr>
            <w:r>
              <w:rPr>
                <w:rFonts w:hint="eastAsia" w:ascii="方正书宋_GBK" w:hAnsi="宋体" w:eastAsia="方正书宋_GBK" w:cs="宋体"/>
                <w:kern w:val="0"/>
                <w:szCs w:val="21"/>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r>
              <w:rPr>
                <w:rFonts w:hint="eastAsia" w:ascii="方正书宋_GBK" w:eastAsia="方正书宋_GBK"/>
                <w:kern w:val="0"/>
                <w:szCs w:val="21"/>
              </w:rPr>
              <w:t>——</w:t>
            </w: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书宋_GBK" w:eastAsia="方正书宋_GBK"/>
                <w:kern w:val="0"/>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b/>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2、车辆（台、辆）</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ascii="方正书宋_GBK" w:eastAsia="方正书宋_GBK"/>
                <w:szCs w:val="21"/>
              </w:rPr>
            </w:pP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方正书宋_GBK" w:hAnsi="宋体" w:eastAsia="方正书宋_GBK" w:cs="宋体"/>
                <w:kern w:val="0"/>
                <w:szCs w:val="21"/>
              </w:rPr>
            </w:pPr>
            <w:r>
              <w:rPr>
                <w:rFonts w:hint="eastAsia" w:ascii="方正书宋_GBK" w:hAnsi="宋体" w:eastAsia="方正书宋_GBK" w:cs="宋体"/>
                <w:kern w:val="0"/>
                <w:szCs w:val="21"/>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default" w:ascii="方正书宋_GBK" w:eastAsia="方正书宋_GBK"/>
                <w:szCs w:val="21"/>
                <w:lang w:val="en-US" w:eastAsia="zh-CN"/>
              </w:rPr>
            </w:pPr>
            <w:r>
              <w:rPr>
                <w:rFonts w:hint="eastAsia" w:ascii="方正书宋_GBK" w:eastAsia="方正书宋_GBK"/>
                <w:szCs w:val="21"/>
                <w:lang w:val="en-US" w:eastAsia="zh-CN"/>
              </w:rPr>
              <w:t>17</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default" w:ascii="方正书宋_GBK" w:eastAsia="方正书宋_GBK"/>
                <w:szCs w:val="21"/>
                <w:lang w:val="en-US" w:eastAsia="zh-CN"/>
              </w:rPr>
            </w:pPr>
            <w:r>
              <w:rPr>
                <w:rFonts w:hint="eastAsia" w:ascii="方正书宋_GBK" w:eastAsia="方正书宋_GBK"/>
                <w:szCs w:val="21"/>
                <w:lang w:val="en-US" w:eastAsia="zh-CN"/>
              </w:rPr>
              <w:t>2.891072</w:t>
            </w:r>
          </w:p>
        </w:tc>
      </w:tr>
    </w:tbl>
    <w:p>
      <w:pPr>
        <w:autoSpaceDE w:val="0"/>
        <w:autoSpaceDN w:val="0"/>
        <w:adjustRightInd w:val="0"/>
        <w:ind w:left="198" w:firstLine="640" w:firstLineChars="200"/>
        <w:jc w:val="left"/>
        <w:rPr>
          <w:rFonts w:ascii="黑体" w:hAnsi="黑体" w:eastAsia="黑体"/>
          <w:sz w:val="32"/>
          <w:szCs w:val="32"/>
        </w:rPr>
      </w:pPr>
    </w:p>
    <w:p>
      <w:pPr>
        <w:autoSpaceDE w:val="0"/>
        <w:autoSpaceDN w:val="0"/>
        <w:adjustRightInd w:val="0"/>
        <w:ind w:left="198" w:firstLine="640" w:firstLineChars="200"/>
        <w:jc w:val="left"/>
        <w:rPr>
          <w:rFonts w:ascii="黑体" w:hAnsi="黑体" w:eastAsia="黑体"/>
          <w:sz w:val="32"/>
          <w:szCs w:val="32"/>
        </w:rPr>
      </w:pPr>
    </w:p>
    <w:p>
      <w:pPr>
        <w:pStyle w:val="3"/>
        <w:ind w:firstLine="640" w:firstLineChars="200"/>
        <w:jc w:val="left"/>
        <w:rPr>
          <w:rFonts w:ascii="黑体" w:hAnsi="黑体" w:eastAsia="黑体"/>
          <w:sz w:val="32"/>
        </w:rPr>
      </w:pPr>
      <w:r>
        <w:rPr>
          <w:rFonts w:hint="eastAsia" w:ascii="方正黑体_GBK" w:eastAsia="方正黑体_GBK"/>
          <w:sz w:val="32"/>
        </w:rPr>
        <w:t>八、名词解释</w:t>
      </w:r>
    </w:p>
    <w:p>
      <w:pPr>
        <w:spacing w:line="500" w:lineRule="exact"/>
        <w:ind w:firstLine="560" w:firstLineChars="200"/>
        <w:jc w:val="left"/>
        <w:rPr>
          <w:rFonts w:eastAsia="方正仿宋_GBK"/>
          <w:sz w:val="28"/>
        </w:rPr>
      </w:pPr>
      <w:r>
        <w:rPr>
          <w:rFonts w:eastAsia="方正仿宋_GBK"/>
          <w:sz w:val="28"/>
        </w:rPr>
        <w:t>1、</w:t>
      </w:r>
      <w:r>
        <w:rPr>
          <w:rFonts w:eastAsia="方正仿宋_GBK"/>
          <w:b/>
          <w:sz w:val="28"/>
        </w:rPr>
        <w:t>一般</w:t>
      </w:r>
      <w:r>
        <w:rPr>
          <w:rFonts w:hint="eastAsia" w:eastAsia="方正仿宋_GBK"/>
          <w:b/>
          <w:sz w:val="28"/>
        </w:rPr>
        <w:t>公</w:t>
      </w:r>
      <w:r>
        <w:rPr>
          <w:rFonts w:eastAsia="方正仿宋_GBK"/>
          <w:b/>
          <w:sz w:val="28"/>
        </w:rPr>
        <w:t>共预算拨款收入：</w:t>
      </w:r>
      <w:r>
        <w:rPr>
          <w:rFonts w:eastAsia="方正仿宋_GBK"/>
          <w:sz w:val="28"/>
        </w:rPr>
        <w:t>指</w:t>
      </w:r>
      <w:r>
        <w:rPr>
          <w:rFonts w:hint="eastAsia" w:eastAsia="方正仿宋_GBK"/>
          <w:sz w:val="28"/>
          <w:lang w:val="en-US" w:eastAsia="zh-CN"/>
        </w:rPr>
        <w:t>区</w:t>
      </w:r>
      <w:r>
        <w:rPr>
          <w:rFonts w:eastAsia="方正仿宋_GBK"/>
          <w:sz w:val="28"/>
        </w:rPr>
        <w:t>级财政当年拨付的资金。</w:t>
      </w:r>
    </w:p>
    <w:p>
      <w:pPr>
        <w:spacing w:line="500" w:lineRule="exact"/>
        <w:ind w:firstLine="560" w:firstLineChars="200"/>
        <w:jc w:val="left"/>
        <w:rPr>
          <w:rFonts w:eastAsia="方正仿宋_GBK"/>
          <w:sz w:val="28"/>
        </w:rPr>
      </w:pPr>
      <w:r>
        <w:rPr>
          <w:rFonts w:eastAsia="方正仿宋_GBK"/>
          <w:sz w:val="28"/>
        </w:rPr>
        <w:t>2、</w:t>
      </w:r>
      <w:r>
        <w:rPr>
          <w:rFonts w:eastAsia="方正仿宋_GBK"/>
          <w:b/>
          <w:sz w:val="28"/>
        </w:rPr>
        <w:t>事业收入：</w:t>
      </w:r>
      <w:r>
        <w:rPr>
          <w:rFonts w:eastAsia="方正仿宋_GBK"/>
          <w:sz w:val="28"/>
        </w:rPr>
        <w:t>指事业单位开展专业业务活动及辅助活动所取得的收入。</w:t>
      </w:r>
    </w:p>
    <w:p>
      <w:pPr>
        <w:spacing w:line="500" w:lineRule="exact"/>
        <w:ind w:firstLine="560" w:firstLineChars="200"/>
        <w:jc w:val="left"/>
        <w:rPr>
          <w:rFonts w:eastAsia="方正仿宋_GBK"/>
          <w:sz w:val="28"/>
        </w:rPr>
      </w:pPr>
      <w:r>
        <w:rPr>
          <w:rFonts w:eastAsia="方正仿宋_GBK"/>
          <w:sz w:val="28"/>
        </w:rPr>
        <w:t>3、</w:t>
      </w:r>
      <w:r>
        <w:rPr>
          <w:rFonts w:eastAsia="方正仿宋_GBK"/>
          <w:b/>
          <w:sz w:val="28"/>
        </w:rPr>
        <w:t>其他收入：</w:t>
      </w:r>
      <w:r>
        <w:rPr>
          <w:rFonts w:eastAsia="方正仿宋_GBK"/>
          <w:sz w:val="28"/>
        </w:rPr>
        <w:t>指除“</w:t>
      </w:r>
      <w:r>
        <w:rPr>
          <w:rFonts w:hint="eastAsia" w:eastAsia="方正仿宋_GBK"/>
          <w:sz w:val="28"/>
        </w:rPr>
        <w:t>一般公共预算</w:t>
      </w:r>
      <w:r>
        <w:rPr>
          <w:rFonts w:eastAsia="方正仿宋_GBK"/>
          <w:sz w:val="28"/>
        </w:rPr>
        <w:t>拨款收入”、“事业收入”等以外的收入。主要是按规定动用的租房收入、存款利息收入等。</w:t>
      </w:r>
    </w:p>
    <w:p>
      <w:pPr>
        <w:spacing w:line="500" w:lineRule="exact"/>
        <w:ind w:firstLine="560" w:firstLineChars="200"/>
        <w:jc w:val="left"/>
        <w:rPr>
          <w:rFonts w:eastAsia="方正仿宋_GBK"/>
          <w:sz w:val="28"/>
        </w:rPr>
      </w:pPr>
      <w:r>
        <w:rPr>
          <w:rFonts w:eastAsia="方正仿宋_GBK"/>
          <w:sz w:val="28"/>
        </w:rPr>
        <w:t>4、</w:t>
      </w:r>
      <w:r>
        <w:rPr>
          <w:rFonts w:eastAsia="方正仿宋_GBK"/>
          <w:b/>
          <w:sz w:val="28"/>
        </w:rPr>
        <w:t>基本支出：</w:t>
      </w:r>
      <w:r>
        <w:rPr>
          <w:rFonts w:hint="eastAsia" w:eastAsia="方正仿宋_GBK"/>
          <w:sz w:val="28"/>
        </w:rPr>
        <w:t>指为保障机构正常运转、完成日常工作任务而发生的人员支出和公用支出。</w:t>
      </w:r>
    </w:p>
    <w:p>
      <w:pPr>
        <w:spacing w:line="500" w:lineRule="exact"/>
        <w:ind w:firstLine="560" w:firstLineChars="200"/>
        <w:jc w:val="left"/>
        <w:rPr>
          <w:rFonts w:eastAsia="方正仿宋_GBK"/>
          <w:sz w:val="28"/>
        </w:rPr>
      </w:pPr>
      <w:r>
        <w:rPr>
          <w:rFonts w:eastAsia="方正仿宋_GBK"/>
          <w:sz w:val="28"/>
        </w:rPr>
        <w:t>5、</w:t>
      </w:r>
      <w:r>
        <w:rPr>
          <w:rFonts w:eastAsia="方正仿宋_GBK"/>
          <w:b/>
          <w:sz w:val="28"/>
        </w:rPr>
        <w:t>项目支出：</w:t>
      </w:r>
      <w:r>
        <w:rPr>
          <w:rFonts w:hint="eastAsia" w:eastAsia="方正仿宋_GBK"/>
          <w:sz w:val="28"/>
        </w:rPr>
        <w:t>指在基本支出之外为完成特定行政任务和事业发展目标所发生的支出。</w:t>
      </w:r>
    </w:p>
    <w:p>
      <w:pPr>
        <w:spacing w:line="500" w:lineRule="exact"/>
        <w:ind w:firstLine="560" w:firstLineChars="200"/>
        <w:jc w:val="left"/>
        <w:rPr>
          <w:rFonts w:eastAsia="方正仿宋_GBK"/>
          <w:sz w:val="28"/>
        </w:rPr>
      </w:pPr>
      <w:r>
        <w:rPr>
          <w:rFonts w:eastAsia="方正仿宋_GBK"/>
          <w:sz w:val="28"/>
        </w:rPr>
        <w:t>6、</w:t>
      </w:r>
      <w:r>
        <w:rPr>
          <w:rFonts w:eastAsia="方正仿宋_GBK"/>
          <w:b/>
          <w:sz w:val="28"/>
        </w:rPr>
        <w:t>上缴上级支出：</w:t>
      </w:r>
      <w:r>
        <w:rPr>
          <w:rFonts w:hint="eastAsia" w:eastAsia="方正仿宋_GBK"/>
          <w:sz w:val="28"/>
        </w:rPr>
        <w:t>指下级单位上缴上级的支出。</w:t>
      </w:r>
    </w:p>
    <w:p>
      <w:pPr>
        <w:spacing w:line="500" w:lineRule="exact"/>
        <w:ind w:firstLine="560" w:firstLineChars="200"/>
        <w:jc w:val="left"/>
        <w:rPr>
          <w:rFonts w:eastAsia="方正仿宋_GBK"/>
          <w:sz w:val="28"/>
        </w:rPr>
      </w:pPr>
      <w:r>
        <w:rPr>
          <w:rFonts w:eastAsia="方正仿宋_GBK"/>
          <w:sz w:val="28"/>
        </w:rPr>
        <w:t>7、</w:t>
      </w:r>
      <w:r>
        <w:rPr>
          <w:rFonts w:eastAsia="方正仿宋_GBK"/>
          <w:b/>
          <w:sz w:val="28"/>
        </w:rPr>
        <w:t>“三公”经费：</w:t>
      </w:r>
      <w:r>
        <w:rPr>
          <w:rFonts w:eastAsia="方正仿宋_GBK"/>
          <w:sz w:val="28"/>
        </w:rPr>
        <w:t>纳入级财政预算管理的“三公”经费，是指</w:t>
      </w:r>
      <w:r>
        <w:rPr>
          <w:rFonts w:hint="eastAsia" w:eastAsia="方正仿宋_GBK"/>
          <w:sz w:val="28"/>
          <w:lang w:val="en-US" w:eastAsia="zh-CN"/>
        </w:rPr>
        <w:t>区</w:t>
      </w:r>
      <w:r>
        <w:rPr>
          <w:rFonts w:eastAsia="方正仿宋_GBK"/>
          <w:sz w:val="28"/>
        </w:rPr>
        <w:t>级部门用财政拨款安排的因公出国（境）费、公务用车购置及运</w:t>
      </w:r>
      <w:r>
        <w:rPr>
          <w:rFonts w:hint="eastAsia" w:eastAsia="方正仿宋_GBK"/>
          <w:sz w:val="28"/>
        </w:rPr>
        <w:t>维</w:t>
      </w:r>
      <w:r>
        <w:rPr>
          <w:rFonts w:eastAsia="方正仿宋_GBK"/>
          <w:sz w:val="28"/>
        </w:rPr>
        <w:t>费和公务接待费。其中，因公出国（境）费反映单位公务出国（境）的住宿费、旅费、伙食补助费、杂费、培训费等支出；公务用车购置及运</w:t>
      </w:r>
      <w:r>
        <w:rPr>
          <w:rFonts w:hint="eastAsia" w:eastAsia="方正仿宋_GBK"/>
          <w:sz w:val="28"/>
        </w:rPr>
        <w:t>维</w:t>
      </w:r>
      <w:r>
        <w:rPr>
          <w:rFonts w:eastAsia="方正仿宋_GBK"/>
          <w:sz w:val="28"/>
        </w:rPr>
        <w:t>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eastAsia="方正仿宋_GBK"/>
          <w:sz w:val="28"/>
        </w:rPr>
      </w:pPr>
      <w:r>
        <w:rPr>
          <w:rFonts w:eastAsia="方正仿宋_GBK"/>
          <w:sz w:val="28"/>
        </w:rPr>
        <w:t>8、</w:t>
      </w:r>
      <w:r>
        <w:rPr>
          <w:rFonts w:eastAsia="方正仿宋_GBK"/>
          <w:b/>
          <w:sz w:val="28"/>
        </w:rPr>
        <w:t>机关运行费：</w:t>
      </w:r>
      <w:r>
        <w:rPr>
          <w:rFonts w:hint="eastAsia"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w:t>
      </w:r>
      <w:r>
        <w:rPr>
          <w:rFonts w:eastAsia="方正仿宋_GBK"/>
          <w:sz w:val="28"/>
        </w:rPr>
        <w:t>其他费用。</w:t>
      </w:r>
    </w:p>
    <w:p>
      <w:pPr>
        <w:spacing w:line="500" w:lineRule="exact"/>
        <w:ind w:firstLine="560" w:firstLineChars="200"/>
        <w:jc w:val="left"/>
        <w:rPr>
          <w:rFonts w:eastAsia="方正仿宋_GBK"/>
          <w:sz w:val="28"/>
        </w:rPr>
      </w:pPr>
      <w:r>
        <w:rPr>
          <w:rFonts w:hint="eastAsia" w:eastAsia="方正仿宋_GBK"/>
          <w:sz w:val="28"/>
        </w:rPr>
        <w:t>9、</w:t>
      </w:r>
      <w:r>
        <w:rPr>
          <w:rFonts w:hint="eastAsia" w:eastAsia="方正仿宋_GBK"/>
          <w:b/>
          <w:sz w:val="28"/>
        </w:rPr>
        <w:t>上年结转：</w:t>
      </w:r>
      <w:r>
        <w:rPr>
          <w:rFonts w:hint="eastAsia" w:eastAsia="方正仿宋_GBK"/>
          <w:sz w:val="28"/>
        </w:rPr>
        <w:t>指以前年度尚未完成、结转到本年仍按原规定用途继续使用的资金。</w:t>
      </w:r>
    </w:p>
    <w:p>
      <w:pPr>
        <w:spacing w:line="500" w:lineRule="exact"/>
        <w:ind w:firstLine="560" w:firstLineChars="200"/>
        <w:jc w:val="left"/>
        <w:rPr>
          <w:rFonts w:eastAsia="方正仿宋_GBK"/>
          <w:sz w:val="28"/>
        </w:rPr>
      </w:pPr>
      <w:r>
        <w:rPr>
          <w:rFonts w:hint="eastAsia" w:eastAsia="方正仿宋_GBK"/>
          <w:sz w:val="28"/>
        </w:rPr>
        <w:t>10、</w:t>
      </w:r>
      <w:r>
        <w:rPr>
          <w:rFonts w:hint="eastAsia" w:eastAsia="方正仿宋_GBK"/>
          <w:b/>
          <w:sz w:val="28"/>
        </w:rPr>
        <w:t>事业单位经营支出：</w:t>
      </w:r>
      <w:r>
        <w:rPr>
          <w:rFonts w:hint="eastAsia" w:eastAsia="方正仿宋_GBK"/>
          <w:sz w:val="28"/>
        </w:rPr>
        <w:t>指事业单位在专业业务活动及其辅助活动之外开展非独立核算经营活动发生的支出。</w:t>
      </w:r>
    </w:p>
    <w:p>
      <w:pPr>
        <w:pStyle w:val="3"/>
        <w:ind w:firstLine="640" w:firstLineChars="200"/>
        <w:jc w:val="left"/>
        <w:rPr>
          <w:rFonts w:ascii="黑体" w:hAnsi="黑体" w:eastAsia="黑体"/>
          <w:sz w:val="32"/>
        </w:rPr>
      </w:pPr>
      <w:r>
        <w:rPr>
          <w:rFonts w:hint="eastAsia" w:ascii="方正黑体_GBK" w:eastAsia="方正黑体_GBK"/>
          <w:sz w:val="32"/>
        </w:rPr>
        <w:t>九、其他需要说明的事项</w:t>
      </w:r>
    </w:p>
    <w:p>
      <w:pPr>
        <w:ind w:firstLine="560" w:firstLineChars="200"/>
        <w:rPr>
          <w:rFonts w:ascii="仿宋_GB2312" w:eastAsia="仿宋_GB2312"/>
          <w:sz w:val="32"/>
          <w:szCs w:val="32"/>
        </w:rPr>
      </w:pPr>
      <w:r>
        <w:rPr>
          <w:rFonts w:hint="eastAsia" w:eastAsia="方正仿宋_GBK"/>
          <w:sz w:val="28"/>
        </w:rPr>
        <w:t>我</w:t>
      </w:r>
      <w:r>
        <w:rPr>
          <w:rFonts w:hint="eastAsia" w:eastAsia="方正仿宋_GBK"/>
          <w:sz w:val="28"/>
          <w:lang w:val="en-US" w:eastAsia="zh-CN"/>
        </w:rPr>
        <w:t>单位</w:t>
      </w:r>
      <w:r>
        <w:rPr>
          <w:rFonts w:hint="eastAsia" w:eastAsia="方正仿宋_GBK"/>
          <w:sz w:val="28"/>
        </w:rPr>
        <w:t>无其他需要说明的事项。</w:t>
      </w:r>
    </w:p>
    <w:p>
      <w:pPr>
        <w:autoSpaceDE w:val="0"/>
        <w:autoSpaceDN w:val="0"/>
        <w:adjustRightInd w:val="0"/>
        <w:ind w:firstLine="480" w:firstLineChars="200"/>
        <w:jc w:val="left"/>
        <w:rPr>
          <w:rFonts w:ascii="仿宋_GB2312" w:hAnsi="仿宋_GB2312" w:eastAsia="仿宋_GB2312" w:cs="仿宋_GB2312"/>
          <w:sz w:val="24"/>
          <w:highlight w:val="green"/>
        </w:rPr>
      </w:pPr>
    </w:p>
    <w:p>
      <w:pPr>
        <w:widowControl/>
        <w:jc w:val="left"/>
        <w:rPr>
          <w:rFonts w:ascii="仿宋_GB2312" w:hAnsi="仿宋_GB2312" w:eastAsia="仿宋_GB2312" w:cs="仿宋_GB2312"/>
          <w:sz w:val="24"/>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宋体-方正超大字符集">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jE1ZTljMzFhYzZkYjAwNTQ3MGE4NGRjYjk0MjMifQ=="/>
  </w:docVars>
  <w:rsids>
    <w:rsidRoot w:val="00DD16E8"/>
    <w:rsid w:val="000D387C"/>
    <w:rsid w:val="000E491A"/>
    <w:rsid w:val="001328A5"/>
    <w:rsid w:val="00155D13"/>
    <w:rsid w:val="00193103"/>
    <w:rsid w:val="00195E0D"/>
    <w:rsid w:val="001A3132"/>
    <w:rsid w:val="001D3B53"/>
    <w:rsid w:val="001D6107"/>
    <w:rsid w:val="00215311"/>
    <w:rsid w:val="00215D26"/>
    <w:rsid w:val="002C2E6F"/>
    <w:rsid w:val="002F0476"/>
    <w:rsid w:val="003269A0"/>
    <w:rsid w:val="003B00D5"/>
    <w:rsid w:val="00402381"/>
    <w:rsid w:val="00501D51"/>
    <w:rsid w:val="005864E6"/>
    <w:rsid w:val="005B1CBC"/>
    <w:rsid w:val="005E1058"/>
    <w:rsid w:val="005E67E1"/>
    <w:rsid w:val="005F17F0"/>
    <w:rsid w:val="006213F2"/>
    <w:rsid w:val="00622ED3"/>
    <w:rsid w:val="0067588B"/>
    <w:rsid w:val="00680BB7"/>
    <w:rsid w:val="006A17A8"/>
    <w:rsid w:val="006E6813"/>
    <w:rsid w:val="00734D71"/>
    <w:rsid w:val="007410B9"/>
    <w:rsid w:val="007924BE"/>
    <w:rsid w:val="007B1B2E"/>
    <w:rsid w:val="007E2BA3"/>
    <w:rsid w:val="0086471E"/>
    <w:rsid w:val="00887FCB"/>
    <w:rsid w:val="008C0365"/>
    <w:rsid w:val="00974459"/>
    <w:rsid w:val="00980307"/>
    <w:rsid w:val="009A039E"/>
    <w:rsid w:val="009B2D5C"/>
    <w:rsid w:val="009C518A"/>
    <w:rsid w:val="009D12D4"/>
    <w:rsid w:val="009F71EB"/>
    <w:rsid w:val="00A15753"/>
    <w:rsid w:val="00A71E4D"/>
    <w:rsid w:val="00A81F4C"/>
    <w:rsid w:val="00AB4D66"/>
    <w:rsid w:val="00AF4DFA"/>
    <w:rsid w:val="00AF6D2A"/>
    <w:rsid w:val="00B45E52"/>
    <w:rsid w:val="00BE2A51"/>
    <w:rsid w:val="00BE7053"/>
    <w:rsid w:val="00BE7CBB"/>
    <w:rsid w:val="00C4247D"/>
    <w:rsid w:val="00C43E54"/>
    <w:rsid w:val="00C6590A"/>
    <w:rsid w:val="00CB00B3"/>
    <w:rsid w:val="00CF32C2"/>
    <w:rsid w:val="00DD13CD"/>
    <w:rsid w:val="00DD16E8"/>
    <w:rsid w:val="00DE482D"/>
    <w:rsid w:val="00F13B90"/>
    <w:rsid w:val="00FF2EEA"/>
    <w:rsid w:val="05EB096B"/>
    <w:rsid w:val="0F646DA4"/>
    <w:rsid w:val="1E99792E"/>
    <w:rsid w:val="4030282F"/>
    <w:rsid w:val="43CD0AFC"/>
    <w:rsid w:val="466E4CD0"/>
    <w:rsid w:val="552201CC"/>
    <w:rsid w:val="79A2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jc w:val="center"/>
      <w:outlineLvl w:val="0"/>
    </w:pPr>
    <w:rPr>
      <w:rFonts w:eastAsia="方正小标宋_GBK"/>
      <w:bCs/>
      <w:kern w:val="44"/>
      <w:sz w:val="44"/>
      <w:szCs w:val="44"/>
    </w:rPr>
  </w:style>
  <w:style w:type="paragraph" w:styleId="3">
    <w:name w:val="heading 2"/>
    <w:basedOn w:val="1"/>
    <w:next w:val="1"/>
    <w:link w:val="21"/>
    <w:unhideWhenUsed/>
    <w:qFormat/>
    <w:uiPriority w:val="9"/>
    <w:pPr>
      <w:keepNext/>
      <w:keepLines/>
      <w:spacing w:before="260" w:after="260" w:line="416" w:lineRule="auto"/>
      <w:jc w:val="center"/>
      <w:outlineLvl w:val="1"/>
    </w:pPr>
    <w:rPr>
      <w:rFonts w:eastAsia="方正小标宋_GBK" w:asciiTheme="majorHAnsi" w:hAnsiTheme="majorHAnsi" w:cstheme="majorBidi"/>
      <w:bCs/>
      <w:sz w:val="36"/>
      <w:szCs w:val="32"/>
    </w:rPr>
  </w:style>
  <w:style w:type="paragraph" w:styleId="4">
    <w:name w:val="heading 3"/>
    <w:basedOn w:val="1"/>
    <w:next w:val="1"/>
    <w:link w:val="22"/>
    <w:unhideWhenUsed/>
    <w:qFormat/>
    <w:uiPriority w:val="9"/>
    <w:pPr>
      <w:keepNext/>
      <w:keepLines/>
      <w:spacing w:before="260" w:after="260" w:line="416" w:lineRule="auto"/>
      <w:outlineLvl w:val="2"/>
    </w:pPr>
    <w:rPr>
      <w:rFonts w:eastAsia="方正黑体_GBK"/>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tabs>
        <w:tab w:val="right" w:leader="dot" w:pos="13948"/>
      </w:tabs>
    </w:pPr>
    <w:rPr>
      <w:rFonts w:ascii="方正楷体_GBK" w:eastAsia="方正楷体_GBK"/>
      <w:b/>
      <w:sz w:val="28"/>
      <w:szCs w:val="28"/>
    </w:rPr>
  </w:style>
  <w:style w:type="paragraph" w:styleId="9">
    <w:name w:val="toc 2"/>
    <w:basedOn w:val="1"/>
    <w:next w:val="1"/>
    <w:unhideWhenUsed/>
    <w:qFormat/>
    <w:uiPriority w:val="39"/>
    <w:pPr>
      <w:tabs>
        <w:tab w:val="right" w:leader="dot" w:pos="13948"/>
      </w:tabs>
      <w:ind w:left="420" w:leftChars="200"/>
    </w:pPr>
    <w:rPr>
      <w:rFonts w:ascii="方正仿宋_GBK" w:eastAsia="方正仿宋_GBK"/>
      <w:sz w:val="28"/>
      <w:szCs w:val="28"/>
    </w:rPr>
  </w:style>
  <w:style w:type="paragraph" w:styleId="10">
    <w:name w:val="Title"/>
    <w:basedOn w:val="1"/>
    <w:next w:val="1"/>
    <w:link w:val="20"/>
    <w:qFormat/>
    <w:uiPriority w:val="10"/>
    <w:pPr>
      <w:spacing w:before="240" w:after="60"/>
      <w:jc w:val="center"/>
      <w:outlineLvl w:val="0"/>
    </w:pPr>
    <w:rPr>
      <w:rFonts w:asciiTheme="majorHAnsi" w:hAnsiTheme="majorHAnsi" w:cstheme="majorBidi"/>
      <w:b/>
      <w:bCs/>
      <w:sz w:val="32"/>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paragraph" w:styleId="15">
    <w:name w:val="List Paragraph"/>
    <w:basedOn w:val="1"/>
    <w:qFormat/>
    <w:uiPriority w:val="34"/>
    <w:pPr>
      <w:ind w:firstLine="420" w:firstLineChars="200"/>
    </w:pPr>
  </w:style>
  <w:style w:type="character" w:customStyle="1" w:styleId="16">
    <w:name w:val="批注框文本 Char"/>
    <w:basedOn w:val="13"/>
    <w:link w:val="5"/>
    <w:semiHidden/>
    <w:qFormat/>
    <w:uiPriority w:val="99"/>
    <w:rPr>
      <w:rFonts w:ascii="Times New Roman" w:hAnsi="Times New Roman" w:eastAsia="宋体" w:cs="Times New Roman"/>
      <w:sz w:val="18"/>
      <w:szCs w:val="18"/>
    </w:rPr>
  </w:style>
  <w:style w:type="character" w:customStyle="1" w:styleId="17">
    <w:name w:val="标题 1 Char"/>
    <w:basedOn w:val="13"/>
    <w:link w:val="2"/>
    <w:uiPriority w:val="9"/>
    <w:rPr>
      <w:rFonts w:ascii="Times New Roman" w:hAnsi="Times New Roman" w:eastAsia="方正小标宋_GBK" w:cs="Times New Roman"/>
      <w:bCs/>
      <w:kern w:val="44"/>
      <w:sz w:val="44"/>
      <w:szCs w:val="44"/>
    </w:rPr>
  </w:style>
  <w:style w:type="character" w:customStyle="1" w:styleId="18">
    <w:name w:val="页眉 Char"/>
    <w:basedOn w:val="13"/>
    <w:link w:val="7"/>
    <w:uiPriority w:val="99"/>
    <w:rPr>
      <w:rFonts w:ascii="Times New Roman" w:hAnsi="Times New Roman" w:eastAsia="宋体" w:cs="Times New Roman"/>
      <w:sz w:val="18"/>
      <w:szCs w:val="18"/>
    </w:rPr>
  </w:style>
  <w:style w:type="character" w:customStyle="1" w:styleId="19">
    <w:name w:val="页脚 Char"/>
    <w:basedOn w:val="13"/>
    <w:link w:val="6"/>
    <w:qFormat/>
    <w:uiPriority w:val="99"/>
    <w:rPr>
      <w:rFonts w:ascii="Times New Roman" w:hAnsi="Times New Roman" w:eastAsia="宋体" w:cs="Times New Roman"/>
      <w:sz w:val="18"/>
      <w:szCs w:val="18"/>
    </w:rPr>
  </w:style>
  <w:style w:type="character" w:customStyle="1" w:styleId="20">
    <w:name w:val="标题 Char"/>
    <w:basedOn w:val="13"/>
    <w:link w:val="10"/>
    <w:qFormat/>
    <w:uiPriority w:val="10"/>
    <w:rPr>
      <w:rFonts w:eastAsia="宋体" w:asciiTheme="majorHAnsi" w:hAnsiTheme="majorHAnsi" w:cstheme="majorBidi"/>
      <w:b/>
      <w:bCs/>
      <w:sz w:val="32"/>
      <w:szCs w:val="32"/>
    </w:rPr>
  </w:style>
  <w:style w:type="character" w:customStyle="1" w:styleId="21">
    <w:name w:val="标题 2 Char"/>
    <w:basedOn w:val="13"/>
    <w:link w:val="3"/>
    <w:qFormat/>
    <w:uiPriority w:val="9"/>
    <w:rPr>
      <w:rFonts w:eastAsia="方正小标宋_GBK" w:asciiTheme="majorHAnsi" w:hAnsiTheme="majorHAnsi" w:cstheme="majorBidi"/>
      <w:bCs/>
      <w:sz w:val="36"/>
      <w:szCs w:val="32"/>
    </w:rPr>
  </w:style>
  <w:style w:type="character" w:customStyle="1" w:styleId="22">
    <w:name w:val="标题 3 Char"/>
    <w:basedOn w:val="13"/>
    <w:link w:val="4"/>
    <w:qFormat/>
    <w:uiPriority w:val="9"/>
    <w:rPr>
      <w:rFonts w:ascii="Times New Roman" w:hAnsi="Times New Roman" w:eastAsia="方正黑体_GBK" w:cs="Times New Roman"/>
      <w:bCs/>
      <w:sz w:val="32"/>
      <w:szCs w:val="32"/>
    </w:rPr>
  </w:style>
  <w:style w:type="paragraph" w:styleId="2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
      <w:color w:val="376092" w:themeColor="accent1" w:themeShade="BF"/>
      <w:kern w:val="0"/>
      <w:sz w:val="28"/>
      <w:szCs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单元格样式2"/>
    <w:basedOn w:val="1"/>
    <w:qFormat/>
    <w:uiPriority w:val="0"/>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9EE8-27DE-4D29-8B23-4AE9CF71F6B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15897</Words>
  <Characters>18288</Characters>
  <Lines>295</Lines>
  <Paragraphs>83</Paragraphs>
  <TotalTime>4</TotalTime>
  <ScaleCrop>false</ScaleCrop>
  <LinksUpToDate>false</LinksUpToDate>
  <CharactersWithSpaces>19552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2021-01-29T06:17:00Z</dcterms:created>
  <dc:creator>user</dc:creator>
  <cp:lastModifiedBy>月苒</cp:lastModifiedBy>
  <dcterms:modified xsi:type="dcterms:W3CDTF">2023-07-25T02:58:39Z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01DB949F37BA4AB28A22DE2B66BDA616</vt:lpwstr>
  </property>
</Properties>
</file>